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5A97F134"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9D2C41">
              <w:rPr>
                <w:rFonts w:ascii="Arial" w:eastAsia="Times New Roman" w:hAnsi="Arial" w:cs="Arial"/>
                <w:color w:val="000000"/>
                <w:sz w:val="18"/>
                <w:szCs w:val="18"/>
                <w:lang w:eastAsia="tr-TR"/>
              </w:rPr>
              <w:t xml:space="preserve">Aile Hekimliği </w:t>
            </w:r>
            <w:r w:rsidR="00526DB4">
              <w:rPr>
                <w:rFonts w:ascii="Arial" w:eastAsia="Times New Roman" w:hAnsi="Arial" w:cs="Arial"/>
                <w:color w:val="000000"/>
                <w:sz w:val="18"/>
                <w:szCs w:val="18"/>
                <w:lang w:eastAsia="tr-TR"/>
              </w:rPr>
              <w:t>-</w:t>
            </w:r>
            <w:r w:rsidR="00AF3079">
              <w:rPr>
                <w:rFonts w:ascii="Arial" w:eastAsia="Times New Roman" w:hAnsi="Arial" w:cs="Arial"/>
                <w:color w:val="000000"/>
                <w:sz w:val="18"/>
                <w:szCs w:val="18"/>
                <w:lang w:eastAsia="tr-TR"/>
              </w:rPr>
              <w:t xml:space="preserve"> TIP605</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77777777" w:rsidR="007E6CB5" w:rsidRPr="007E6CB5" w:rsidRDefault="00B41478"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c>
          <w:tcPr>
            <w:tcW w:w="1363" w:type="dxa"/>
            <w:noWrap/>
            <w:vAlign w:val="center"/>
            <w:hideMark/>
          </w:tcPr>
          <w:p w14:paraId="3E9C0346" w14:textId="77777777" w:rsidR="007E6CB5" w:rsidRPr="007E6CB5" w:rsidRDefault="00B41478"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150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6F437024" w:rsidR="007E6CB5" w:rsidRPr="007E6CB5" w:rsidRDefault="007D73C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77777777" w:rsidR="007E6CB5" w:rsidRPr="007E6CB5" w:rsidRDefault="00347523"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7777777" w:rsidR="007E6CB5" w:rsidRPr="00BE2231" w:rsidRDefault="00A56D5F"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0B74BD">
        <w:trPr>
          <w:trHeight w:val="2642"/>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77777777" w:rsidR="00FB4ED2" w:rsidRDefault="00347523" w:rsidP="000B74BD">
            <w:pPr>
              <w:ind w:firstLine="708"/>
              <w:jc w:val="both"/>
            </w:pPr>
            <w:r w:rsidRPr="00BA7902">
              <w:t>Tıp eğitiminin klinik öncesi ve klinik eğitim dönemlerinde kazandıkları bilgi, beceri ve tutumları aile hekimliği hizmeti sunum alanlarında uygulayabilir hale gelmelerini sağlamaktır. Öğrencilerin mezuniyet sonrasında, birinci basamakta etkin, kaliteli hizmet üretebilecek donanıma sahip olmalarını sağlamak, birinci basamakta sık gözlenen semptomlar ve bu semptomlara odaklı yaklaşımlar hakkında bilgi edinmelerini sağlamak ve öğrenciye birinci basamağa yönelik klinik bilgi, beceri, tutum ve davranışlarının geliştirilmesi için uygun olanaklar sağlamaktır.</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1B841103" w14:textId="77777777" w:rsidR="00347523" w:rsidRPr="00BA7902" w:rsidRDefault="00347523" w:rsidP="000C10EB">
            <w:pPr>
              <w:numPr>
                <w:ilvl w:val="0"/>
                <w:numId w:val="4"/>
              </w:numPr>
              <w:spacing w:before="240"/>
              <w:ind w:left="340" w:hanging="340"/>
              <w:contextualSpacing/>
              <w:jc w:val="both"/>
            </w:pPr>
            <w:r w:rsidRPr="00BA7902">
              <w:t>Birinci basamak sağlık hizmetinin temel özelliklerini, Aile Sağlığı Merkez’lerinin (ASM) kapsam ve görevlerini kavramak.</w:t>
            </w:r>
          </w:p>
          <w:p w14:paraId="348D567D" w14:textId="77777777" w:rsidR="00347523" w:rsidRPr="00BA7902" w:rsidRDefault="00347523" w:rsidP="000C10EB">
            <w:pPr>
              <w:numPr>
                <w:ilvl w:val="0"/>
                <w:numId w:val="4"/>
              </w:numPr>
              <w:ind w:left="340" w:hanging="340"/>
              <w:contextualSpacing/>
              <w:jc w:val="both"/>
            </w:pPr>
            <w:r w:rsidRPr="00BA7902">
              <w:t>Birinci basamak sağlık hizmetlerinin mevzuatını, yapısını, kapsama alanını ve diğer tıp uzmanlıkları ile etkileşimini bilmek.</w:t>
            </w:r>
          </w:p>
          <w:p w14:paraId="2D3BCE4E" w14:textId="77777777" w:rsidR="00347523" w:rsidRPr="00BA7902" w:rsidRDefault="00347523" w:rsidP="000C10EB">
            <w:pPr>
              <w:numPr>
                <w:ilvl w:val="0"/>
                <w:numId w:val="4"/>
              </w:numPr>
              <w:ind w:left="340" w:hanging="340"/>
              <w:contextualSpacing/>
              <w:jc w:val="both"/>
            </w:pPr>
            <w:r w:rsidRPr="00BA7902">
              <w:t>Hekimler ve diğer sağlık personeli ile etkili iletişim kurar ve etik kurallarına uygun olarak çalışmak.</w:t>
            </w:r>
          </w:p>
          <w:p w14:paraId="6A665875" w14:textId="77777777" w:rsidR="00347523" w:rsidRPr="00BA7902" w:rsidRDefault="00347523" w:rsidP="000C10EB">
            <w:pPr>
              <w:numPr>
                <w:ilvl w:val="0"/>
                <w:numId w:val="4"/>
              </w:numPr>
              <w:ind w:left="340" w:hanging="340"/>
              <w:jc w:val="both"/>
            </w:pPr>
            <w:r w:rsidRPr="00BA7902">
              <w:t xml:space="preserve">Hasta ve ailesi ile hasta merkezli iletişim becerilerini kullanarak etkin iletişim kurmak. </w:t>
            </w:r>
          </w:p>
          <w:p w14:paraId="735C5D56" w14:textId="77777777" w:rsidR="00347523" w:rsidRPr="00BA7902" w:rsidRDefault="00347523" w:rsidP="000C10EB">
            <w:pPr>
              <w:numPr>
                <w:ilvl w:val="0"/>
                <w:numId w:val="4"/>
              </w:numPr>
              <w:ind w:left="340" w:hanging="340"/>
              <w:contextualSpacing/>
              <w:jc w:val="both"/>
            </w:pPr>
            <w:r w:rsidRPr="00BA7902">
              <w:t xml:space="preserve">Birinci basamakta sık görülen akut ve kronik ayaktan tedavi edilebilir tıbbi durumları değerlendirmek ve yönetmek. </w:t>
            </w:r>
          </w:p>
          <w:p w14:paraId="3975AE78" w14:textId="77777777" w:rsidR="00347523" w:rsidRPr="00BA7902" w:rsidRDefault="00347523" w:rsidP="000C10EB">
            <w:pPr>
              <w:numPr>
                <w:ilvl w:val="0"/>
                <w:numId w:val="4"/>
              </w:numPr>
              <w:ind w:left="340" w:hanging="340"/>
              <w:contextualSpacing/>
              <w:jc w:val="both"/>
            </w:pPr>
            <w:r w:rsidRPr="00BA7902">
              <w:t>Birey, aile ve toplum düzeyinde koruyucu sağlık hizmetini önemsemek, sağlığın korunması ve geliştirilmesine yönelik birinci basamak sağlık hizmetlerini bilmek.</w:t>
            </w:r>
          </w:p>
          <w:p w14:paraId="72B2FFBE" w14:textId="77777777" w:rsidR="00347523" w:rsidRPr="00BA7902" w:rsidRDefault="00347523" w:rsidP="000C10EB">
            <w:pPr>
              <w:numPr>
                <w:ilvl w:val="0"/>
                <w:numId w:val="4"/>
              </w:numPr>
              <w:ind w:left="340" w:hanging="340"/>
              <w:contextualSpacing/>
              <w:jc w:val="both"/>
            </w:pPr>
            <w:r w:rsidRPr="00BA7902">
              <w:t>Birinci basamak sağlık kuruluşuna başvuran hastadan hasta merkezli yaklaşım ve etkili iletişim becerilerini kullanarak anamnez almak ve tam fizik muayene yapmak ve elde ettiği bulguları değerlendirerek ön tanı/tanı koymak.</w:t>
            </w:r>
          </w:p>
          <w:p w14:paraId="580A072B" w14:textId="77777777" w:rsidR="00347523" w:rsidRPr="00BA7902" w:rsidRDefault="00347523" w:rsidP="000C10EB">
            <w:pPr>
              <w:numPr>
                <w:ilvl w:val="0"/>
                <w:numId w:val="4"/>
              </w:numPr>
              <w:ind w:left="340" w:hanging="340"/>
              <w:contextualSpacing/>
              <w:jc w:val="both"/>
            </w:pPr>
            <w:r w:rsidRPr="00BA7902">
              <w:t>Tanıya yönelik olarak birinci basamak düzeyindeki testleri uygun sırada seçmek ve sonuçlarını yorumlamak.</w:t>
            </w:r>
          </w:p>
          <w:p w14:paraId="13C1F33C" w14:textId="77777777" w:rsidR="00347523" w:rsidRPr="00BA7902" w:rsidRDefault="00347523" w:rsidP="000C10EB">
            <w:pPr>
              <w:numPr>
                <w:ilvl w:val="0"/>
                <w:numId w:val="4"/>
              </w:numPr>
              <w:ind w:left="340" w:hanging="340"/>
              <w:contextualSpacing/>
              <w:jc w:val="both"/>
            </w:pPr>
            <w:r w:rsidRPr="00BA7902">
              <w:t>Ayrımlaşmamış rahatsızlıkların yönetimini bilmek.</w:t>
            </w:r>
          </w:p>
          <w:p w14:paraId="129D0CE2" w14:textId="77777777" w:rsidR="00347523" w:rsidRPr="00BA7902" w:rsidRDefault="00347523" w:rsidP="000C10EB">
            <w:pPr>
              <w:numPr>
                <w:ilvl w:val="0"/>
                <w:numId w:val="4"/>
              </w:numPr>
              <w:ind w:left="340" w:hanging="340"/>
              <w:contextualSpacing/>
              <w:jc w:val="both"/>
            </w:pPr>
            <w:r w:rsidRPr="00BA7902">
              <w:t>Çocuk ve erişkinlerde sık karşılaşılan hastalıkların birinci basamak düzeyinde tedavisini planlamak, akılcı ilaç kullanım ilkeleri doğrultusunda reçetesini düzenlemek, izlemini yapmak, korunma önlemlerini uygulamak, hastalıklara yönelik danışmanlık vermek, hastanın üst basamak sağlık kuruluşuna ne zaman sevk edilmesi gerektiğinin farkında olmak ve gerektiğinde hastayı uygun şekilde sevk etmek.</w:t>
            </w:r>
          </w:p>
          <w:p w14:paraId="2E03E38A" w14:textId="77777777" w:rsidR="00347523" w:rsidRPr="00BA7902" w:rsidRDefault="00347523" w:rsidP="000C10EB">
            <w:pPr>
              <w:numPr>
                <w:ilvl w:val="0"/>
                <w:numId w:val="4"/>
              </w:numPr>
              <w:ind w:left="340" w:hanging="340"/>
              <w:contextualSpacing/>
              <w:jc w:val="both"/>
            </w:pPr>
            <w:r w:rsidRPr="00BA7902">
              <w:t>Birinci basamakta bebek ve çocuk izlemi, gebe ve lohusa izlemi, 15-49 yaş izlemi, periyodik sağlık muayeneleri, taramaları (okul taramaları, kanser taramaları, meme muayenesi, topuk kanı alma) yapmak. Aşılar ve saklama koşullarını, bağışıklama ve aile planlaması hizmetlerini, bildirimi zorunlu hastalıkları ve bunların bildirimini yapmayı bilmek.</w:t>
            </w:r>
          </w:p>
          <w:p w14:paraId="663CE9C4" w14:textId="77777777" w:rsidR="00347523" w:rsidRPr="00BA7902" w:rsidRDefault="00347523" w:rsidP="000C10EB">
            <w:pPr>
              <w:numPr>
                <w:ilvl w:val="0"/>
                <w:numId w:val="4"/>
              </w:numPr>
              <w:ind w:left="340" w:hanging="340"/>
              <w:contextualSpacing/>
              <w:jc w:val="both"/>
            </w:pPr>
            <w:r w:rsidRPr="00BA7902">
              <w:t xml:space="preserve">Birinci basamak düzeyindeki yazılı ve elektronik kayıt sistemini (Aile Hekimliği Bilgi Sistemi) bilmek. </w:t>
            </w:r>
          </w:p>
          <w:p w14:paraId="49E0ECBA" w14:textId="77777777" w:rsidR="00347523" w:rsidRPr="00BA7902" w:rsidRDefault="00347523" w:rsidP="000C10EB">
            <w:pPr>
              <w:numPr>
                <w:ilvl w:val="0"/>
                <w:numId w:val="4"/>
              </w:numPr>
              <w:ind w:left="340" w:hanging="340"/>
              <w:contextualSpacing/>
              <w:jc w:val="both"/>
            </w:pPr>
            <w:r w:rsidRPr="00BA7902">
              <w:t>Aile hekimliğinde kayıt tutmayı, kullanılan formları, aşı ihtiyacını belirleme ve temin etmeyi, malzeme takibini bilmek.</w:t>
            </w:r>
          </w:p>
          <w:p w14:paraId="54E68452" w14:textId="77777777" w:rsidR="00347523" w:rsidRPr="00BA7902" w:rsidRDefault="00347523" w:rsidP="000C10EB">
            <w:pPr>
              <w:numPr>
                <w:ilvl w:val="0"/>
                <w:numId w:val="4"/>
              </w:numPr>
              <w:ind w:left="340" w:hanging="340"/>
              <w:contextualSpacing/>
              <w:jc w:val="both"/>
            </w:pPr>
            <w:r w:rsidRPr="00BA7902">
              <w:t>Birinci basamakta</w:t>
            </w:r>
            <w:r w:rsidR="006C0138">
              <w:t xml:space="preserve"> </w:t>
            </w:r>
            <w:r w:rsidRPr="00BA7902">
              <w:t>kanıta dayalı rehber kullanımını bilmek.</w:t>
            </w:r>
          </w:p>
          <w:p w14:paraId="2A6F1515" w14:textId="77777777" w:rsidR="00347523" w:rsidRPr="00BA7902" w:rsidRDefault="00347523" w:rsidP="000C10EB">
            <w:pPr>
              <w:numPr>
                <w:ilvl w:val="0"/>
                <w:numId w:val="4"/>
              </w:numPr>
              <w:ind w:left="340" w:hanging="340"/>
              <w:contextualSpacing/>
              <w:jc w:val="both"/>
            </w:pPr>
            <w:r w:rsidRPr="00BA7902">
              <w:t>Evde Sağlık Hizmetleri kapsamında verilen hizmetleri bilmek.</w:t>
            </w:r>
          </w:p>
          <w:p w14:paraId="02889190" w14:textId="77777777" w:rsidR="00347523" w:rsidRPr="00BA7902" w:rsidRDefault="00347523" w:rsidP="000C10EB">
            <w:pPr>
              <w:numPr>
                <w:ilvl w:val="0"/>
                <w:numId w:val="4"/>
              </w:numPr>
              <w:ind w:left="340" w:hanging="340"/>
              <w:contextualSpacing/>
              <w:jc w:val="both"/>
            </w:pPr>
            <w:r w:rsidRPr="00BA7902">
              <w:t>Geleneksel ve tamamlayıcı tıp yöntemlerini bilmek ve gerektiğinde hastaya danışmanlık vermek.</w:t>
            </w:r>
          </w:p>
          <w:p w14:paraId="4C44E700" w14:textId="77777777" w:rsidR="007E6CB5" w:rsidRPr="00BD546F" w:rsidRDefault="00347523" w:rsidP="000C10EB">
            <w:pPr>
              <w:numPr>
                <w:ilvl w:val="0"/>
                <w:numId w:val="4"/>
              </w:numPr>
              <w:ind w:left="340" w:hanging="340"/>
              <w:jc w:val="both"/>
            </w:pPr>
            <w:r w:rsidRPr="00BA7902">
              <w:lastRenderedPageBreak/>
              <w:t>Beslenme, fiziksel aktivite, sigara bırakma gibi sağlıklı yaşam tarzı değişiklikleriyle ilgili</w:t>
            </w:r>
            <w:r w:rsidR="006C0138">
              <w:t xml:space="preserve"> </w:t>
            </w:r>
            <w:r w:rsidRPr="00BA7902">
              <w:t>danışmanlık vermek.</w:t>
            </w:r>
          </w:p>
        </w:tc>
      </w:tr>
      <w:tr w:rsidR="007E6CB5" w:rsidRPr="007E6CB5" w14:paraId="5CCBCAA5" w14:textId="77777777" w:rsidTr="000B74BD">
        <w:trPr>
          <w:trHeight w:val="2615"/>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vAlign w:val="center"/>
            <w:hideMark/>
          </w:tcPr>
          <w:p w14:paraId="11DAA689" w14:textId="77777777" w:rsidR="00F21D8B" w:rsidRDefault="00347523" w:rsidP="000B74BD">
            <w:pPr>
              <w:jc w:val="both"/>
            </w:pPr>
            <w:r w:rsidRPr="00BA7902">
              <w:br w:type="page"/>
            </w:r>
            <w:r w:rsidR="00F21D8B">
              <w:t xml:space="preserve">1. </w:t>
            </w:r>
            <w:r w:rsidR="00BD546F" w:rsidRPr="00BA7902">
              <w:t>Textbook of FamilyPractice. Robert E. Rakel (Editor); W.B. SaundersCompany.</w:t>
            </w:r>
          </w:p>
          <w:p w14:paraId="0C339E3B" w14:textId="77777777" w:rsidR="00F21D8B" w:rsidRDefault="00F21D8B" w:rsidP="000B74BD">
            <w:pPr>
              <w:jc w:val="both"/>
            </w:pPr>
            <w:r>
              <w:t xml:space="preserve">2. </w:t>
            </w:r>
            <w:r w:rsidR="00BD546F" w:rsidRPr="00BA7902">
              <w:t>Aile Hekimliği. Nazan Bilgel (Editör); Medikal Tıp Kitabevi.</w:t>
            </w:r>
          </w:p>
          <w:p w14:paraId="3349E359" w14:textId="77777777" w:rsidR="00F21D8B" w:rsidRDefault="00F21D8B" w:rsidP="000B74BD">
            <w:pPr>
              <w:jc w:val="both"/>
            </w:pPr>
            <w:r>
              <w:t xml:space="preserve">3. </w:t>
            </w:r>
            <w:r w:rsidR="00BD546F" w:rsidRPr="00BA7902">
              <w:t>Birinci Basamakta Tanı ve Tedavi. Nafiz Bozdemir, İsmail Hamdi Kara; Adana Nobel Kitabevi.</w:t>
            </w:r>
          </w:p>
          <w:p w14:paraId="34A3A3BA" w14:textId="77777777" w:rsidR="00F21D8B" w:rsidRDefault="00F21D8B" w:rsidP="000B74BD">
            <w:pPr>
              <w:jc w:val="both"/>
            </w:pPr>
            <w:r>
              <w:t xml:space="preserve">4. </w:t>
            </w:r>
            <w:r w:rsidR="00BD546F" w:rsidRPr="00BA7902">
              <w:t>Aile Yönelimli Birincil Bakım. Susan H. Mc Daniel, Thomas L. Campbell, JeriHepworth, Alan Lorenz (Editors); Hakan Yaman</w:t>
            </w:r>
            <w:r>
              <w:t xml:space="preserve"> (Çeviri editörü); Yüce Yayınevi</w:t>
            </w:r>
          </w:p>
          <w:p w14:paraId="04CCDA9C" w14:textId="77777777" w:rsidR="00F21D8B" w:rsidRDefault="00F21D8B" w:rsidP="000B74BD">
            <w:pPr>
              <w:jc w:val="both"/>
            </w:pPr>
            <w:r>
              <w:t xml:space="preserve">5. </w:t>
            </w:r>
            <w:r w:rsidR="00BD546F" w:rsidRPr="00BA7902">
              <w:t xml:space="preserve">Öyküye Dayalı Birincil Bakım Uygulama Rehberi. John Launer (Editor); Hakan Yaman (Çeviri editörü); Akademi Yayınevi. </w:t>
            </w:r>
          </w:p>
          <w:p w14:paraId="41EB4373" w14:textId="77777777" w:rsidR="00BD546F" w:rsidRPr="00BA7902" w:rsidRDefault="00F21D8B" w:rsidP="000B74BD">
            <w:pPr>
              <w:jc w:val="both"/>
            </w:pPr>
            <w:r>
              <w:t xml:space="preserve">6. </w:t>
            </w:r>
            <w:r w:rsidR="00BD546F" w:rsidRPr="00BA7902">
              <w:t>T.C. Sağlık Bakanlığı Aile Hekimliği Uygulamasında Önerilen Periyodik Sağlık Muayeneleri ve Tarama Testleri. https://hsgm.saglik.gov.tr/tr/kanser-turleri.html?view=article&amp;id=3441&amp;catid=502</w:t>
            </w:r>
          </w:p>
          <w:p w14:paraId="79877621" w14:textId="77777777" w:rsidR="007E6CB5" w:rsidRPr="007E6CB5" w:rsidRDefault="007E6CB5" w:rsidP="000B74BD">
            <w:pPr>
              <w:jc w:val="both"/>
              <w:rPr>
                <w:rFonts w:ascii="Arial" w:eastAsia="Times New Roman" w:hAnsi="Arial" w:cs="Arial"/>
                <w:b/>
                <w:bCs/>
                <w:color w:val="000000"/>
                <w:sz w:val="20"/>
                <w:szCs w:val="20"/>
                <w:lang w:eastAsia="tr-TR"/>
              </w:rPr>
            </w:pP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4CE16585"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6410DA">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3CA36FF2"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6410DA">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2BBB44A"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6410DA">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77777777" w:rsidR="004C5C78" w:rsidRPr="00C60610" w:rsidRDefault="00C60610" w:rsidP="00C424A0">
            <w:pPr>
              <w:rPr>
                <w:rFonts w:ascii="Arial" w:eastAsia="Times New Roman" w:hAnsi="Arial" w:cs="Arial"/>
                <w:bCs/>
                <w:color w:val="000000"/>
                <w:sz w:val="20"/>
                <w:szCs w:val="20"/>
                <w:lang w:eastAsia="tr-TR"/>
              </w:rPr>
            </w:pPr>
            <w:r w:rsidRPr="00C60610">
              <w:rPr>
                <w:rFonts w:ascii="Arial" w:eastAsia="Times New Roman" w:hAnsi="Arial" w:cs="Arial"/>
                <w:bCs/>
                <w:color w:val="000000"/>
                <w:sz w:val="20"/>
                <w:szCs w:val="20"/>
                <w:lang w:eastAsia="tr-TR"/>
              </w:rPr>
              <w:t>Profesör Doktor Didem ADAHAN</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C60610" w:rsidRPr="007E6CB5" w14:paraId="5FC4A8E9" w14:textId="77777777" w:rsidTr="00C424A0">
        <w:trPr>
          <w:trHeight w:val="300"/>
          <w:jc w:val="center"/>
        </w:trPr>
        <w:tc>
          <w:tcPr>
            <w:tcW w:w="1339" w:type="dxa"/>
            <w:noWrap/>
            <w:vAlign w:val="center"/>
            <w:hideMark/>
          </w:tcPr>
          <w:p w14:paraId="5D07E55C" w14:textId="77777777" w:rsidR="00C60610" w:rsidRPr="007E6CB5" w:rsidRDefault="00C60610"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Align w:val="center"/>
            <w:hideMark/>
          </w:tcPr>
          <w:p w14:paraId="12F6EB44" w14:textId="7191E24D" w:rsidR="00C60610" w:rsidRDefault="00C60610" w:rsidP="00C60610">
            <w:pPr>
              <w:rPr>
                <w:rFonts w:ascii="Arial" w:eastAsia="Times New Roman" w:hAnsi="Arial" w:cs="Arial"/>
                <w:color w:val="000000"/>
                <w:sz w:val="20"/>
                <w:szCs w:val="20"/>
                <w:lang w:eastAsia="tr-TR"/>
              </w:rPr>
            </w:pPr>
            <w:r>
              <w:t>Aile Hekimliği Uygulamaları,</w:t>
            </w:r>
            <w:r w:rsidR="009D2C41">
              <w:t xml:space="preserve"> </w:t>
            </w:r>
            <w:r w:rsidRPr="00BA7902">
              <w:t>Adli raporlar</w:t>
            </w:r>
            <w:r>
              <w:t xml:space="preserve"> derslerine katılım</w:t>
            </w:r>
            <w:r>
              <w:rPr>
                <w:rFonts w:ascii="Arial" w:eastAsia="Times New Roman" w:hAnsi="Arial" w:cs="Arial"/>
                <w:color w:val="000000"/>
                <w:sz w:val="20"/>
                <w:szCs w:val="20"/>
                <w:lang w:eastAsia="tr-TR"/>
              </w:rPr>
              <w:t xml:space="preserve"> </w:t>
            </w:r>
          </w:p>
          <w:p w14:paraId="25AC5850" w14:textId="77777777" w:rsidR="00C60610" w:rsidRPr="007E6CB5" w:rsidRDefault="00C60610" w:rsidP="00C60610">
            <w:pPr>
              <w:rPr>
                <w:rFonts w:ascii="Arial" w:eastAsia="Times New Roman" w:hAnsi="Arial" w:cs="Arial"/>
                <w:color w:val="000000"/>
                <w:sz w:val="20"/>
                <w:szCs w:val="20"/>
                <w:lang w:eastAsia="tr-TR"/>
              </w:rPr>
            </w:pPr>
            <w:r>
              <w:t xml:space="preserve">KBÜEAH Aile Hekimliği Poliklinik ve Klinik (Palyatif Bakım) Çalışmaları, </w:t>
            </w:r>
            <w:r>
              <w:rPr>
                <w:rFonts w:ascii="Arial" w:eastAsia="Times New Roman" w:hAnsi="Arial" w:cs="Arial"/>
                <w:color w:val="000000"/>
                <w:sz w:val="20"/>
                <w:szCs w:val="20"/>
                <w:lang w:eastAsia="tr-TR"/>
              </w:rPr>
              <w:t>evde sağlık ekibi ile çalışmaya katılım</w:t>
            </w:r>
          </w:p>
        </w:tc>
      </w:tr>
      <w:tr w:rsidR="00E26B84" w:rsidRPr="007E6CB5" w14:paraId="4AEBE74F" w14:textId="77777777" w:rsidTr="00C424A0">
        <w:trPr>
          <w:trHeight w:val="300"/>
          <w:jc w:val="center"/>
        </w:trPr>
        <w:tc>
          <w:tcPr>
            <w:tcW w:w="1339" w:type="dxa"/>
            <w:noWrap/>
            <w:vAlign w:val="center"/>
            <w:hideMark/>
          </w:tcPr>
          <w:p w14:paraId="1690E729" w14:textId="77777777" w:rsidR="00E26B84" w:rsidRPr="007E6CB5" w:rsidRDefault="00E26B84"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restart"/>
            <w:vAlign w:val="center"/>
            <w:hideMark/>
          </w:tcPr>
          <w:p w14:paraId="5000D4AE" w14:textId="77777777" w:rsidR="00E26B84" w:rsidRPr="007E6CB5" w:rsidRDefault="00E26B84" w:rsidP="00C60610">
            <w:pPr>
              <w:rPr>
                <w:rFonts w:ascii="Arial" w:eastAsia="Times New Roman" w:hAnsi="Arial" w:cs="Arial"/>
                <w:color w:val="000000"/>
                <w:sz w:val="20"/>
                <w:szCs w:val="20"/>
                <w:lang w:eastAsia="tr-TR"/>
              </w:rPr>
            </w:pPr>
            <w:r>
              <w:t xml:space="preserve">Aile Sağlığı Merkezi çalışmalarına katılım, </w:t>
            </w:r>
            <w:r>
              <w:rPr>
                <w:rFonts w:ascii="Arial" w:eastAsia="Times New Roman" w:hAnsi="Arial" w:cs="Arial"/>
                <w:color w:val="000000"/>
                <w:sz w:val="20"/>
                <w:szCs w:val="20"/>
                <w:lang w:eastAsia="tr-TR"/>
              </w:rPr>
              <w:t>periyodik muayene uygulama.</w:t>
            </w:r>
          </w:p>
        </w:tc>
      </w:tr>
      <w:tr w:rsidR="00E26B84" w:rsidRPr="007E6CB5" w14:paraId="3E115E7F" w14:textId="77777777" w:rsidTr="00C424A0">
        <w:trPr>
          <w:trHeight w:val="300"/>
          <w:jc w:val="center"/>
        </w:trPr>
        <w:tc>
          <w:tcPr>
            <w:tcW w:w="1339" w:type="dxa"/>
            <w:noWrap/>
            <w:vAlign w:val="center"/>
            <w:hideMark/>
          </w:tcPr>
          <w:p w14:paraId="5715A235" w14:textId="77777777" w:rsidR="00E26B84" w:rsidRPr="007E6CB5" w:rsidRDefault="00E26B84"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hideMark/>
          </w:tcPr>
          <w:p w14:paraId="73FCA34B" w14:textId="77777777" w:rsidR="00E26B84" w:rsidRPr="007E6CB5" w:rsidRDefault="00E26B84" w:rsidP="00C60610">
            <w:pPr>
              <w:rPr>
                <w:rFonts w:ascii="Arial" w:eastAsia="Times New Roman" w:hAnsi="Arial" w:cs="Arial"/>
                <w:color w:val="000000"/>
                <w:sz w:val="20"/>
                <w:szCs w:val="20"/>
                <w:lang w:eastAsia="tr-TR"/>
              </w:rPr>
            </w:pPr>
          </w:p>
        </w:tc>
      </w:tr>
      <w:tr w:rsidR="00C60610" w:rsidRPr="007E6CB5" w14:paraId="52D0C6E0" w14:textId="77777777" w:rsidTr="00C424A0">
        <w:trPr>
          <w:trHeight w:val="300"/>
          <w:jc w:val="center"/>
        </w:trPr>
        <w:tc>
          <w:tcPr>
            <w:tcW w:w="1339" w:type="dxa"/>
            <w:noWrap/>
            <w:vAlign w:val="center"/>
            <w:hideMark/>
          </w:tcPr>
          <w:p w14:paraId="3B62F77E" w14:textId="77777777" w:rsidR="00C60610" w:rsidRPr="007E6CB5" w:rsidRDefault="00C60610"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Align w:val="center"/>
            <w:hideMark/>
          </w:tcPr>
          <w:p w14:paraId="5EBD6FF1" w14:textId="04A38768" w:rsidR="00E26B84" w:rsidRDefault="00E26B84" w:rsidP="00E26B84">
            <w:pPr>
              <w:rPr>
                <w:rFonts w:ascii="Arial" w:eastAsia="Times New Roman" w:hAnsi="Arial" w:cs="Arial"/>
                <w:color w:val="000000"/>
                <w:sz w:val="20"/>
                <w:szCs w:val="20"/>
                <w:lang w:eastAsia="tr-TR"/>
              </w:rPr>
            </w:pPr>
            <w:r>
              <w:t>Aile Hekimliği Uygulamaları,</w:t>
            </w:r>
            <w:r w:rsidR="009D2C41">
              <w:t xml:space="preserve"> </w:t>
            </w:r>
            <w:r w:rsidRPr="00BA7902">
              <w:t>Adli raporlar</w:t>
            </w:r>
            <w:r>
              <w:t xml:space="preserve"> derslerine katılım</w:t>
            </w:r>
            <w:r>
              <w:rPr>
                <w:rFonts w:ascii="Arial" w:eastAsia="Times New Roman" w:hAnsi="Arial" w:cs="Arial"/>
                <w:color w:val="000000"/>
                <w:sz w:val="20"/>
                <w:szCs w:val="20"/>
                <w:lang w:eastAsia="tr-TR"/>
              </w:rPr>
              <w:t xml:space="preserve"> </w:t>
            </w:r>
          </w:p>
          <w:p w14:paraId="247C6238" w14:textId="77777777" w:rsidR="00C60610" w:rsidRPr="007E6CB5" w:rsidRDefault="00E26B84" w:rsidP="00E26B84">
            <w:pPr>
              <w:rPr>
                <w:rFonts w:ascii="Arial" w:eastAsia="Times New Roman" w:hAnsi="Arial" w:cs="Arial"/>
                <w:color w:val="000000"/>
                <w:sz w:val="20"/>
                <w:szCs w:val="20"/>
                <w:lang w:eastAsia="tr-TR"/>
              </w:rPr>
            </w:pPr>
            <w:r>
              <w:t xml:space="preserve">KBÜEAH Aile Hekimliği Poliklinik ve Klinik (Palyatif Bakım) Çalışmaları, </w:t>
            </w:r>
            <w:r>
              <w:rPr>
                <w:rFonts w:ascii="Arial" w:eastAsia="Times New Roman" w:hAnsi="Arial" w:cs="Arial"/>
                <w:color w:val="000000"/>
                <w:sz w:val="20"/>
                <w:szCs w:val="20"/>
                <w:lang w:eastAsia="tr-TR"/>
              </w:rPr>
              <w:t>evde sağlık ekibi ile çalışmaya katılım</w:t>
            </w: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p>
        </w:tc>
        <w:tc>
          <w:tcPr>
            <w:tcW w:w="833" w:type="dxa"/>
            <w:noWrap/>
            <w:vAlign w:val="center"/>
            <w:hideMark/>
          </w:tcPr>
          <w:p w14:paraId="03F01DBE" w14:textId="77777777" w:rsidR="007E6CB5" w:rsidRPr="007E6CB5" w:rsidRDefault="0034752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992" w:type="dxa"/>
            <w:noWrap/>
            <w:vAlign w:val="center"/>
            <w:hideMark/>
          </w:tcPr>
          <w:p w14:paraId="2DB1A2D8" w14:textId="77777777" w:rsidR="007E6CB5" w:rsidRPr="007E6CB5" w:rsidRDefault="00217BD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77777777" w:rsidR="007E6CB5" w:rsidRPr="007E6CB5" w:rsidRDefault="00217BD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r>
      <w:tr w:rsidR="007E6CB5" w:rsidRPr="007E6CB5" w14:paraId="0AD712B5" w14:textId="77777777" w:rsidTr="00217BD0">
        <w:trPr>
          <w:trHeight w:val="300"/>
          <w:jc w:val="center"/>
        </w:trPr>
        <w:tc>
          <w:tcPr>
            <w:tcW w:w="6959" w:type="dxa"/>
            <w:gridSpan w:val="6"/>
            <w:noWrap/>
            <w:vAlign w:val="center"/>
            <w:hideMark/>
          </w:tcPr>
          <w:p w14:paraId="73B7C49C"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 xml:space="preserve">Sınıf Dışı Ders Çalışma Süresi </w:t>
            </w:r>
          </w:p>
        </w:tc>
        <w:tc>
          <w:tcPr>
            <w:tcW w:w="833" w:type="dxa"/>
            <w:noWrap/>
            <w:vAlign w:val="center"/>
            <w:hideMark/>
          </w:tcPr>
          <w:p w14:paraId="6BFE8151" w14:textId="77777777" w:rsidR="007E6CB5" w:rsidRPr="007E6CB5" w:rsidRDefault="0034752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150</w:t>
            </w:r>
          </w:p>
        </w:tc>
        <w:tc>
          <w:tcPr>
            <w:tcW w:w="992" w:type="dxa"/>
            <w:noWrap/>
            <w:vAlign w:val="center"/>
            <w:hideMark/>
          </w:tcPr>
          <w:p w14:paraId="1DB3E8F4" w14:textId="77777777" w:rsidR="007E6CB5" w:rsidRPr="007E6CB5" w:rsidRDefault="00217BD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9FC9B1B" w14:textId="77777777" w:rsidR="007E6CB5" w:rsidRPr="007E6CB5" w:rsidRDefault="00217BD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150</w:t>
            </w:r>
          </w:p>
        </w:tc>
      </w:tr>
      <w:tr w:rsidR="007E6CB5" w:rsidRPr="007E6CB5" w14:paraId="43213611" w14:textId="77777777" w:rsidTr="00217BD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hideMark/>
          </w:tcPr>
          <w:p w14:paraId="1DEC10BE" w14:textId="77777777" w:rsidR="007E6CB5" w:rsidRPr="007E6CB5" w:rsidRDefault="0034752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044B06FE" w14:textId="77777777" w:rsidR="007E6CB5" w:rsidRPr="007E6CB5" w:rsidRDefault="0034752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4D57FA11" w14:textId="77777777" w:rsidR="007E6CB5" w:rsidRPr="007E6CB5" w:rsidRDefault="00217BD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4C5C78">
        <w:trPr>
          <w:trHeight w:val="300"/>
          <w:jc w:val="center"/>
        </w:trPr>
        <w:tc>
          <w:tcPr>
            <w:tcW w:w="8784" w:type="dxa"/>
            <w:gridSpan w:val="8"/>
            <w:noWrap/>
            <w:hideMark/>
          </w:tcPr>
          <w:p w14:paraId="6C24067C"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hideMark/>
          </w:tcPr>
          <w:p w14:paraId="3D19BADC" w14:textId="77777777" w:rsidR="007E6CB5" w:rsidRPr="007E6CB5" w:rsidRDefault="00217BD0" w:rsidP="005808D8">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160</w:t>
            </w:r>
          </w:p>
        </w:tc>
      </w:tr>
      <w:tr w:rsidR="007E6CB5" w:rsidRPr="007E6CB5" w14:paraId="04D98CD4" w14:textId="77777777" w:rsidTr="004C5C78">
        <w:trPr>
          <w:trHeight w:val="300"/>
          <w:jc w:val="center"/>
        </w:trPr>
        <w:tc>
          <w:tcPr>
            <w:tcW w:w="8784" w:type="dxa"/>
            <w:gridSpan w:val="8"/>
            <w:noWrap/>
            <w:hideMark/>
          </w:tcPr>
          <w:p w14:paraId="0229A63F"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Toplam İş Yükü / 30(s):</w:t>
            </w:r>
          </w:p>
        </w:tc>
        <w:tc>
          <w:tcPr>
            <w:tcW w:w="1672" w:type="dxa"/>
            <w:gridSpan w:val="2"/>
            <w:noWrap/>
            <w:hideMark/>
          </w:tcPr>
          <w:p w14:paraId="12DB5F09" w14:textId="77777777" w:rsidR="007E6CB5" w:rsidRPr="007E6CB5" w:rsidRDefault="003079D6" w:rsidP="005808D8">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5,33</w:t>
            </w:r>
          </w:p>
        </w:tc>
      </w:tr>
      <w:tr w:rsidR="007E6CB5" w:rsidRPr="007E6CB5" w14:paraId="12F806DC" w14:textId="77777777" w:rsidTr="004C5C78">
        <w:trPr>
          <w:trHeight w:val="315"/>
          <w:jc w:val="center"/>
        </w:trPr>
        <w:tc>
          <w:tcPr>
            <w:tcW w:w="8784" w:type="dxa"/>
            <w:gridSpan w:val="8"/>
            <w:noWrap/>
            <w:hideMark/>
          </w:tcPr>
          <w:p w14:paraId="28FC601B" w14:textId="77777777"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hideMark/>
          </w:tcPr>
          <w:p w14:paraId="74FFC366" w14:textId="77777777" w:rsidR="007E6CB5" w:rsidRPr="007E6CB5" w:rsidRDefault="00B41478" w:rsidP="005808D8">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0C175920" w14:textId="77777777" w:rsidR="000D17AB" w:rsidRDefault="000D17AB">
      <w:r>
        <w:br w:type="page"/>
      </w:r>
    </w:p>
    <w:p w14:paraId="76C2D359" w14:textId="3DDF7918" w:rsidR="000D17AB" w:rsidRPr="000D17AB" w:rsidRDefault="000D17AB" w:rsidP="000D17AB">
      <w:pPr>
        <w:tabs>
          <w:tab w:val="left" w:pos="3860"/>
        </w:tabs>
        <w:jc w:val="center"/>
        <w:rPr>
          <w:b/>
          <w:sz w:val="36"/>
        </w:rPr>
      </w:pPr>
      <w:r w:rsidRPr="000D17AB">
        <w:rPr>
          <w:b/>
          <w:sz w:val="36"/>
        </w:rPr>
        <w:lastRenderedPageBreak/>
        <w:t xml:space="preserve">EK </w:t>
      </w:r>
      <w:r w:rsidR="006410D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5E0A2461" w14:textId="77777777" w:rsidR="000D17AB" w:rsidRPr="000D17AB" w:rsidRDefault="000D17AB" w:rsidP="000D17AB">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1961"/>
        <w:gridCol w:w="1492"/>
      </w:tblGrid>
      <w:tr w:rsidR="000D17AB" w:rsidRPr="000D17AB" w14:paraId="2BE15D3E" w14:textId="77777777" w:rsidTr="000D17AB">
        <w:trPr>
          <w:trHeight w:val="397"/>
        </w:trPr>
        <w:tc>
          <w:tcPr>
            <w:tcW w:w="3433" w:type="pct"/>
            <w:vAlign w:val="center"/>
          </w:tcPr>
          <w:p w14:paraId="46228E1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Eğitim Etkinliğinin Adı</w:t>
            </w:r>
          </w:p>
        </w:tc>
        <w:tc>
          <w:tcPr>
            <w:tcW w:w="890" w:type="pct"/>
            <w:vAlign w:val="center"/>
          </w:tcPr>
          <w:p w14:paraId="36B1843C"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Öğrenme Yöntemi</w:t>
            </w:r>
          </w:p>
        </w:tc>
        <w:tc>
          <w:tcPr>
            <w:tcW w:w="677" w:type="pct"/>
            <w:vAlign w:val="center"/>
          </w:tcPr>
          <w:p w14:paraId="532ACC02"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Uzman Onayı</w:t>
            </w:r>
          </w:p>
        </w:tc>
      </w:tr>
      <w:tr w:rsidR="000D17AB" w:rsidRPr="000D17AB" w14:paraId="7F525D62" w14:textId="77777777" w:rsidTr="000D17AB">
        <w:trPr>
          <w:trHeight w:val="567"/>
        </w:trPr>
        <w:tc>
          <w:tcPr>
            <w:tcW w:w="3433" w:type="pct"/>
            <w:vAlign w:val="center"/>
          </w:tcPr>
          <w:p w14:paraId="7FC2D84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Adli raporlar</w:t>
            </w:r>
          </w:p>
        </w:tc>
        <w:tc>
          <w:tcPr>
            <w:tcW w:w="890" w:type="pct"/>
            <w:vAlign w:val="center"/>
          </w:tcPr>
          <w:p w14:paraId="70F11EC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Derse katılım</w:t>
            </w:r>
          </w:p>
        </w:tc>
        <w:tc>
          <w:tcPr>
            <w:tcW w:w="677" w:type="pct"/>
            <w:vAlign w:val="center"/>
          </w:tcPr>
          <w:p w14:paraId="6D3758B1" w14:textId="77777777" w:rsidR="000D17AB" w:rsidRPr="000D17AB" w:rsidRDefault="000D17AB" w:rsidP="000D17AB">
            <w:pPr>
              <w:spacing w:after="0" w:line="240" w:lineRule="auto"/>
              <w:jc w:val="center"/>
              <w:rPr>
                <w:rFonts w:ascii="Calibri" w:eastAsia="Calibri" w:hAnsi="Calibri" w:cs="Times New Roman"/>
              </w:rPr>
            </w:pPr>
          </w:p>
        </w:tc>
      </w:tr>
      <w:tr w:rsidR="000D17AB" w:rsidRPr="000D17AB" w14:paraId="6C125E02" w14:textId="77777777" w:rsidTr="000D17AB">
        <w:trPr>
          <w:trHeight w:val="567"/>
        </w:trPr>
        <w:tc>
          <w:tcPr>
            <w:tcW w:w="3433" w:type="pct"/>
            <w:vAlign w:val="center"/>
          </w:tcPr>
          <w:p w14:paraId="15D565C6"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Aile Hekimliği Anabilim Dalı akademik etkinlik (seminer, literatür, olgu sunumu)</w:t>
            </w:r>
          </w:p>
        </w:tc>
        <w:tc>
          <w:tcPr>
            <w:tcW w:w="890" w:type="pct"/>
            <w:vAlign w:val="center"/>
          </w:tcPr>
          <w:p w14:paraId="36AE296F"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677" w:type="pct"/>
            <w:vAlign w:val="center"/>
          </w:tcPr>
          <w:p w14:paraId="52784C42" w14:textId="77777777" w:rsidR="000D17AB" w:rsidRPr="000D17AB" w:rsidRDefault="000D17AB" w:rsidP="000D17AB">
            <w:pPr>
              <w:spacing w:after="0" w:line="240" w:lineRule="auto"/>
              <w:jc w:val="center"/>
              <w:rPr>
                <w:rFonts w:ascii="Calibri" w:eastAsia="Calibri" w:hAnsi="Calibri" w:cs="Times New Roman"/>
              </w:rPr>
            </w:pPr>
          </w:p>
        </w:tc>
      </w:tr>
      <w:tr w:rsidR="000D17AB" w:rsidRPr="000D17AB" w14:paraId="47CEA9EC" w14:textId="77777777" w:rsidTr="000D17AB">
        <w:trPr>
          <w:trHeight w:val="567"/>
        </w:trPr>
        <w:tc>
          <w:tcPr>
            <w:tcW w:w="3433" w:type="pct"/>
            <w:vAlign w:val="center"/>
          </w:tcPr>
          <w:p w14:paraId="17AD715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Aile Hekimliği Anabilim Dalı akademik etkinlik (seminer, literatür, olgu sunumu)</w:t>
            </w:r>
          </w:p>
        </w:tc>
        <w:tc>
          <w:tcPr>
            <w:tcW w:w="890" w:type="pct"/>
            <w:vAlign w:val="center"/>
          </w:tcPr>
          <w:p w14:paraId="73E288FF"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677" w:type="pct"/>
            <w:vAlign w:val="center"/>
          </w:tcPr>
          <w:p w14:paraId="54AE8FC7" w14:textId="77777777" w:rsidR="000D17AB" w:rsidRPr="000D17AB" w:rsidRDefault="000D17AB" w:rsidP="000D17AB">
            <w:pPr>
              <w:spacing w:after="0" w:line="240" w:lineRule="auto"/>
              <w:jc w:val="center"/>
              <w:rPr>
                <w:rFonts w:ascii="Calibri" w:eastAsia="Calibri" w:hAnsi="Calibri" w:cs="Times New Roman"/>
              </w:rP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79D3AABD"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Aile Hekimliği Anabilim Dalı</w:t>
      </w:r>
      <w:r w:rsidR="000147B8">
        <w:rPr>
          <w:rFonts w:ascii="Arial" w:eastAsia="Times New Roman" w:hAnsi="Arial" w:cs="Times New Roman"/>
          <w:b/>
          <w:sz w:val="24"/>
          <w:szCs w:val="26"/>
        </w:rPr>
        <w:t xml:space="preserve"> </w:t>
      </w:r>
      <w:r w:rsidRPr="000D17AB">
        <w:rPr>
          <w:rFonts w:ascii="Arial" w:eastAsia="Times New Roman" w:hAnsi="Arial" w:cs="Times New Roman"/>
          <w:b/>
          <w:sz w:val="24"/>
          <w:szCs w:val="26"/>
        </w:rPr>
        <w:t>Hekimlik Uygulamaları Değerlendirme</w:t>
      </w:r>
      <w:bookmarkEnd w:id="2"/>
    </w:p>
    <w:p w14:paraId="457C0476" w14:textId="77777777" w:rsidR="000D17AB" w:rsidRPr="000D17AB"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1"/>
        <w:tblW w:w="5000" w:type="pct"/>
        <w:tblLook w:val="04A0" w:firstRow="1" w:lastRow="0" w:firstColumn="1" w:lastColumn="0" w:noHBand="0" w:noVBand="1"/>
      </w:tblPr>
      <w:tblGrid>
        <w:gridCol w:w="773"/>
        <w:gridCol w:w="9009"/>
        <w:gridCol w:w="1234"/>
      </w:tblGrid>
      <w:tr w:rsidR="000D17AB" w:rsidRPr="000D17AB" w14:paraId="3CCFFE1F" w14:textId="77777777" w:rsidTr="000D17AB">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41C40C97"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Sıra</w:t>
            </w:r>
          </w:p>
        </w:tc>
        <w:tc>
          <w:tcPr>
            <w:tcW w:w="4089" w:type="pct"/>
            <w:vAlign w:val="bottom"/>
          </w:tcPr>
          <w:p w14:paraId="1923E203" w14:textId="77777777" w:rsidR="000D17AB" w:rsidRPr="000D17AB" w:rsidRDefault="000D17AB" w:rsidP="000D17A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Hekimlik Uygulaması</w:t>
            </w:r>
          </w:p>
        </w:tc>
        <w:tc>
          <w:tcPr>
            <w:tcW w:w="560" w:type="pct"/>
          </w:tcPr>
          <w:p w14:paraId="10A248D0" w14:textId="77777777" w:rsidR="000D17AB" w:rsidRPr="000D17AB" w:rsidRDefault="000D17AB" w:rsidP="000D17A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Asgari Sayı</w:t>
            </w:r>
          </w:p>
        </w:tc>
      </w:tr>
      <w:tr w:rsidR="000D17AB" w:rsidRPr="000D17AB" w14:paraId="3A7AF6F4"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254CBB3"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w:t>
            </w:r>
          </w:p>
        </w:tc>
        <w:tc>
          <w:tcPr>
            <w:tcW w:w="4089" w:type="pct"/>
            <w:vAlign w:val="center"/>
          </w:tcPr>
          <w:p w14:paraId="5A173CBC"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Genel ve soruna yönelik öykü alma</w:t>
            </w:r>
          </w:p>
        </w:tc>
        <w:tc>
          <w:tcPr>
            <w:tcW w:w="560" w:type="pct"/>
            <w:vAlign w:val="center"/>
          </w:tcPr>
          <w:p w14:paraId="4881E6AB"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5</w:t>
            </w:r>
          </w:p>
        </w:tc>
      </w:tr>
      <w:tr w:rsidR="000D17AB" w:rsidRPr="000D17AB" w14:paraId="081ACFC7"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A60B766"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2</w:t>
            </w:r>
          </w:p>
        </w:tc>
        <w:tc>
          <w:tcPr>
            <w:tcW w:w="4089" w:type="pct"/>
            <w:vAlign w:val="center"/>
          </w:tcPr>
          <w:p w14:paraId="0B6885D8"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Genel fizik muayene yapma</w:t>
            </w:r>
          </w:p>
        </w:tc>
        <w:tc>
          <w:tcPr>
            <w:tcW w:w="560" w:type="pct"/>
            <w:vAlign w:val="center"/>
          </w:tcPr>
          <w:p w14:paraId="43E37560"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5</w:t>
            </w:r>
          </w:p>
        </w:tc>
      </w:tr>
      <w:tr w:rsidR="000D17AB" w:rsidRPr="000D17AB" w14:paraId="78489206"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7A1A7FD"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3</w:t>
            </w:r>
          </w:p>
        </w:tc>
        <w:tc>
          <w:tcPr>
            <w:tcW w:w="4089" w:type="pct"/>
            <w:vAlign w:val="center"/>
          </w:tcPr>
          <w:p w14:paraId="5FB64C35"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Tarama ve tanısal amaçlı inceleme sonuçlarını yorumlama</w:t>
            </w:r>
          </w:p>
        </w:tc>
        <w:tc>
          <w:tcPr>
            <w:tcW w:w="560" w:type="pct"/>
            <w:vAlign w:val="center"/>
          </w:tcPr>
          <w:p w14:paraId="6F96690A"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5</w:t>
            </w:r>
          </w:p>
        </w:tc>
      </w:tr>
      <w:tr w:rsidR="000D17AB" w:rsidRPr="000D17AB" w14:paraId="12483BD6"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316F7E1"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4</w:t>
            </w:r>
          </w:p>
        </w:tc>
        <w:tc>
          <w:tcPr>
            <w:tcW w:w="4089" w:type="pct"/>
            <w:vAlign w:val="center"/>
          </w:tcPr>
          <w:p w14:paraId="7330246A"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Ayrımlaşmamış hastalığa yaklaşabilme</w:t>
            </w:r>
          </w:p>
        </w:tc>
        <w:tc>
          <w:tcPr>
            <w:tcW w:w="560" w:type="pct"/>
            <w:vAlign w:val="center"/>
          </w:tcPr>
          <w:p w14:paraId="18F1E0C2"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3C78FE85"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82C2D8C"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5</w:t>
            </w:r>
          </w:p>
        </w:tc>
        <w:tc>
          <w:tcPr>
            <w:tcW w:w="4089" w:type="pct"/>
            <w:vAlign w:val="center"/>
          </w:tcPr>
          <w:p w14:paraId="51DC4586"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Aydınlatılmış onam alma</w:t>
            </w:r>
          </w:p>
        </w:tc>
        <w:tc>
          <w:tcPr>
            <w:tcW w:w="560" w:type="pct"/>
            <w:vAlign w:val="center"/>
          </w:tcPr>
          <w:p w14:paraId="0A6414A7"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1DA0E2C1"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8C90278"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6</w:t>
            </w:r>
          </w:p>
        </w:tc>
        <w:tc>
          <w:tcPr>
            <w:tcW w:w="4089" w:type="pct"/>
            <w:vAlign w:val="center"/>
          </w:tcPr>
          <w:p w14:paraId="22707A61"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Sigara bırakma danışmanlığı verme</w:t>
            </w:r>
          </w:p>
        </w:tc>
        <w:tc>
          <w:tcPr>
            <w:tcW w:w="560" w:type="pct"/>
            <w:vAlign w:val="center"/>
          </w:tcPr>
          <w:p w14:paraId="5013AB56"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5C3F4EAE"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027B7CB"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7</w:t>
            </w:r>
          </w:p>
        </w:tc>
        <w:tc>
          <w:tcPr>
            <w:tcW w:w="4089" w:type="pct"/>
            <w:vAlign w:val="center"/>
          </w:tcPr>
          <w:p w14:paraId="4EC2AAA1"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Reçete düzenleme</w:t>
            </w:r>
          </w:p>
        </w:tc>
        <w:tc>
          <w:tcPr>
            <w:tcW w:w="560" w:type="pct"/>
            <w:vAlign w:val="center"/>
          </w:tcPr>
          <w:p w14:paraId="1D18D20F"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3</w:t>
            </w:r>
          </w:p>
        </w:tc>
      </w:tr>
      <w:tr w:rsidR="000D17AB" w:rsidRPr="000D17AB" w14:paraId="507FC9A3"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3BA6320"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8</w:t>
            </w:r>
          </w:p>
        </w:tc>
        <w:tc>
          <w:tcPr>
            <w:tcW w:w="4089" w:type="pct"/>
            <w:vAlign w:val="center"/>
          </w:tcPr>
          <w:p w14:paraId="2079640C"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Hasta dosyası hazırlama ve sunma</w:t>
            </w:r>
          </w:p>
        </w:tc>
        <w:tc>
          <w:tcPr>
            <w:tcW w:w="560" w:type="pct"/>
            <w:vAlign w:val="center"/>
          </w:tcPr>
          <w:p w14:paraId="6BFFD448"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1</w:t>
            </w:r>
          </w:p>
        </w:tc>
      </w:tr>
      <w:tr w:rsidR="000D17AB" w:rsidRPr="000D17AB" w14:paraId="3C9DCB90"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167593E"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9</w:t>
            </w:r>
          </w:p>
        </w:tc>
        <w:tc>
          <w:tcPr>
            <w:tcW w:w="4089" w:type="pct"/>
            <w:vAlign w:val="center"/>
          </w:tcPr>
          <w:p w14:paraId="04D77000"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Epikriz hazırlama</w:t>
            </w:r>
          </w:p>
        </w:tc>
        <w:tc>
          <w:tcPr>
            <w:tcW w:w="560" w:type="pct"/>
            <w:vAlign w:val="center"/>
          </w:tcPr>
          <w:p w14:paraId="57F0669F"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1</w:t>
            </w:r>
          </w:p>
        </w:tc>
      </w:tr>
      <w:tr w:rsidR="000D17AB" w:rsidRPr="000D17AB" w14:paraId="47A89F05"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C971913"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10</w:t>
            </w:r>
          </w:p>
        </w:tc>
        <w:tc>
          <w:tcPr>
            <w:tcW w:w="4089" w:type="pct"/>
            <w:vAlign w:val="center"/>
          </w:tcPr>
          <w:p w14:paraId="1BA9A580"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Ölüm belgesi düzenleme</w:t>
            </w:r>
          </w:p>
        </w:tc>
        <w:tc>
          <w:tcPr>
            <w:tcW w:w="560" w:type="pct"/>
            <w:vAlign w:val="center"/>
          </w:tcPr>
          <w:p w14:paraId="563EF0CC"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1</w:t>
            </w:r>
          </w:p>
        </w:tc>
      </w:tr>
      <w:tr w:rsidR="000D17AB" w:rsidRPr="000D17AB" w14:paraId="475CE337"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AE965A6"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11</w:t>
            </w:r>
          </w:p>
        </w:tc>
        <w:tc>
          <w:tcPr>
            <w:tcW w:w="4089" w:type="pct"/>
            <w:vAlign w:val="center"/>
          </w:tcPr>
          <w:p w14:paraId="56ED5B2F"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Evde hasta değerlendirme</w:t>
            </w:r>
          </w:p>
        </w:tc>
        <w:tc>
          <w:tcPr>
            <w:tcW w:w="560" w:type="pct"/>
            <w:vAlign w:val="center"/>
          </w:tcPr>
          <w:p w14:paraId="6ACFF7A8"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bl>
    <w:p w14:paraId="51858022" w14:textId="77777777" w:rsidR="000D17AB" w:rsidRPr="000D17AB" w:rsidRDefault="000D17AB" w:rsidP="000D17AB">
      <w:pPr>
        <w:spacing w:after="0" w:line="240" w:lineRule="auto"/>
        <w:jc w:val="both"/>
        <w:rPr>
          <w:rFonts w:ascii="Times New Roman" w:eastAsia="Calibri" w:hAnsi="Times New Roman" w:cs="Times New Roman"/>
          <w:sz w:val="18"/>
        </w:rPr>
      </w:pPr>
    </w:p>
    <w:p w14:paraId="09917950" w14:textId="6B857483" w:rsidR="000D17AB" w:rsidRPr="000D17AB" w:rsidRDefault="000D17AB" w:rsidP="000D17AB">
      <w:pPr>
        <w:keepNext/>
        <w:keepLines/>
        <w:spacing w:before="40" w:after="0" w:line="240" w:lineRule="auto"/>
        <w:jc w:val="center"/>
        <w:outlineLvl w:val="1"/>
        <w:rPr>
          <w:rFonts w:ascii="Arial" w:eastAsia="Times New Roman" w:hAnsi="Arial" w:cs="Times New Roman"/>
          <w:b/>
          <w:sz w:val="24"/>
          <w:szCs w:val="26"/>
        </w:rPr>
      </w:pPr>
      <w:bookmarkStart w:id="3" w:name="_Toc73453215"/>
      <w:r w:rsidRPr="000D17AB">
        <w:rPr>
          <w:rFonts w:ascii="Arial" w:eastAsia="Times New Roman" w:hAnsi="Arial" w:cs="Times New Roman"/>
          <w:b/>
          <w:sz w:val="24"/>
          <w:szCs w:val="26"/>
        </w:rPr>
        <w:t>Aile Sağlığı Merkezi</w:t>
      </w:r>
      <w:r w:rsidR="000147B8">
        <w:rPr>
          <w:rFonts w:ascii="Arial" w:eastAsia="Times New Roman" w:hAnsi="Arial" w:cs="Times New Roman"/>
          <w:b/>
          <w:sz w:val="24"/>
          <w:szCs w:val="26"/>
        </w:rPr>
        <w:t xml:space="preserve"> </w:t>
      </w:r>
      <w:r w:rsidRPr="000D17AB">
        <w:rPr>
          <w:rFonts w:ascii="Arial" w:eastAsia="Times New Roman" w:hAnsi="Arial" w:cs="Times New Roman"/>
          <w:b/>
          <w:sz w:val="24"/>
          <w:szCs w:val="26"/>
        </w:rPr>
        <w:t>Hekimlik Uygulamaları Değerlendirme</w:t>
      </w:r>
      <w:bookmarkEnd w:id="3"/>
    </w:p>
    <w:p w14:paraId="2CE7A730" w14:textId="77777777" w:rsidR="000D17AB" w:rsidRPr="000D17AB"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1"/>
        <w:tblW w:w="5000" w:type="pct"/>
        <w:tblLook w:val="04A0" w:firstRow="1" w:lastRow="0" w:firstColumn="1" w:lastColumn="0" w:noHBand="0" w:noVBand="1"/>
      </w:tblPr>
      <w:tblGrid>
        <w:gridCol w:w="773"/>
        <w:gridCol w:w="9009"/>
        <w:gridCol w:w="1234"/>
      </w:tblGrid>
      <w:tr w:rsidR="000D17AB" w:rsidRPr="000D17AB" w14:paraId="751F7C7A" w14:textId="77777777" w:rsidTr="000D17AB">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4E05ADF5"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Sıra</w:t>
            </w:r>
          </w:p>
        </w:tc>
        <w:tc>
          <w:tcPr>
            <w:tcW w:w="4089" w:type="pct"/>
            <w:vAlign w:val="bottom"/>
          </w:tcPr>
          <w:p w14:paraId="4AEF81D2" w14:textId="77777777" w:rsidR="000D17AB" w:rsidRPr="000D17AB" w:rsidRDefault="000D17AB" w:rsidP="000D17A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Hekimlik Uygulaması</w:t>
            </w:r>
          </w:p>
        </w:tc>
        <w:tc>
          <w:tcPr>
            <w:tcW w:w="560" w:type="pct"/>
          </w:tcPr>
          <w:p w14:paraId="61542BC1" w14:textId="77777777" w:rsidR="000D17AB" w:rsidRPr="000D17AB" w:rsidRDefault="000D17AB" w:rsidP="000D17A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Asgari Sayı</w:t>
            </w:r>
          </w:p>
        </w:tc>
      </w:tr>
      <w:tr w:rsidR="000D17AB" w:rsidRPr="000D17AB" w14:paraId="7A5C0FC3"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3F74DB4"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w:t>
            </w:r>
          </w:p>
        </w:tc>
        <w:tc>
          <w:tcPr>
            <w:tcW w:w="4089" w:type="pct"/>
            <w:vAlign w:val="center"/>
          </w:tcPr>
          <w:p w14:paraId="516CD61F"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Genel ve soruna yönelik öykü alma</w:t>
            </w:r>
          </w:p>
        </w:tc>
        <w:tc>
          <w:tcPr>
            <w:tcW w:w="560" w:type="pct"/>
            <w:vAlign w:val="center"/>
          </w:tcPr>
          <w:p w14:paraId="575F3409"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5</w:t>
            </w:r>
          </w:p>
        </w:tc>
      </w:tr>
      <w:tr w:rsidR="000D17AB" w:rsidRPr="000D17AB" w14:paraId="1ABCFE8C"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8D5AB85"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2</w:t>
            </w:r>
          </w:p>
        </w:tc>
        <w:tc>
          <w:tcPr>
            <w:tcW w:w="4089" w:type="pct"/>
            <w:vAlign w:val="center"/>
          </w:tcPr>
          <w:p w14:paraId="7821D492"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Genel fizik muayene yapma</w:t>
            </w:r>
          </w:p>
        </w:tc>
        <w:tc>
          <w:tcPr>
            <w:tcW w:w="560" w:type="pct"/>
            <w:vAlign w:val="center"/>
          </w:tcPr>
          <w:p w14:paraId="44E4DB47"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5</w:t>
            </w:r>
          </w:p>
        </w:tc>
      </w:tr>
      <w:tr w:rsidR="000D17AB" w:rsidRPr="000D17AB" w14:paraId="3BE2A396"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F7E0CD6"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3</w:t>
            </w:r>
          </w:p>
        </w:tc>
        <w:tc>
          <w:tcPr>
            <w:tcW w:w="4089" w:type="pct"/>
            <w:vAlign w:val="center"/>
          </w:tcPr>
          <w:p w14:paraId="01BF4EA1"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Birinci basamakta gebe ve lohusa izlemi</w:t>
            </w:r>
          </w:p>
        </w:tc>
        <w:tc>
          <w:tcPr>
            <w:tcW w:w="560" w:type="pct"/>
            <w:vAlign w:val="center"/>
          </w:tcPr>
          <w:p w14:paraId="233824A5"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5435DE11"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0AA9394"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lastRenderedPageBreak/>
              <w:t>4</w:t>
            </w:r>
          </w:p>
        </w:tc>
        <w:tc>
          <w:tcPr>
            <w:tcW w:w="4089" w:type="pct"/>
            <w:vAlign w:val="center"/>
          </w:tcPr>
          <w:p w14:paraId="2AEC3F54"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Birinci basamakta bebek ve çocuk izlemi</w:t>
            </w:r>
          </w:p>
        </w:tc>
        <w:tc>
          <w:tcPr>
            <w:tcW w:w="560" w:type="pct"/>
            <w:vAlign w:val="center"/>
          </w:tcPr>
          <w:p w14:paraId="44463396"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48F41EF6"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19508CB"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5</w:t>
            </w:r>
          </w:p>
        </w:tc>
        <w:tc>
          <w:tcPr>
            <w:tcW w:w="4089" w:type="pct"/>
            <w:vAlign w:val="center"/>
          </w:tcPr>
          <w:p w14:paraId="3D7F2CB0"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Aile planlaması danışmanlığı yapma</w:t>
            </w:r>
          </w:p>
        </w:tc>
        <w:tc>
          <w:tcPr>
            <w:tcW w:w="560" w:type="pct"/>
            <w:vAlign w:val="center"/>
          </w:tcPr>
          <w:p w14:paraId="52E226B7"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743D5A0A"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8548D18"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6</w:t>
            </w:r>
          </w:p>
        </w:tc>
        <w:tc>
          <w:tcPr>
            <w:tcW w:w="4089" w:type="pct"/>
            <w:vAlign w:val="center"/>
          </w:tcPr>
          <w:p w14:paraId="3EB5C7BB"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 xml:space="preserve">AHBS kullanma </w:t>
            </w:r>
          </w:p>
        </w:tc>
        <w:tc>
          <w:tcPr>
            <w:tcW w:w="560" w:type="pct"/>
            <w:vAlign w:val="center"/>
          </w:tcPr>
          <w:p w14:paraId="5EBC2DFE"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3</w:t>
            </w:r>
          </w:p>
        </w:tc>
      </w:tr>
      <w:tr w:rsidR="000D17AB" w:rsidRPr="000D17AB" w14:paraId="42BD1328"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0B419A1"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7</w:t>
            </w:r>
          </w:p>
        </w:tc>
        <w:tc>
          <w:tcPr>
            <w:tcW w:w="4089" w:type="pct"/>
            <w:vAlign w:val="center"/>
          </w:tcPr>
          <w:p w14:paraId="48483A30"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Yaş ve cinsiyet gruplarına göre tarama testleri ve risk değerlendirmesi yapma</w:t>
            </w:r>
          </w:p>
        </w:tc>
        <w:tc>
          <w:tcPr>
            <w:tcW w:w="560" w:type="pct"/>
            <w:vAlign w:val="center"/>
          </w:tcPr>
          <w:p w14:paraId="15ED114A"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5</w:t>
            </w:r>
          </w:p>
        </w:tc>
      </w:tr>
      <w:tr w:rsidR="000D17AB" w:rsidRPr="000D17AB" w14:paraId="78B862B4"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A94C61D"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8</w:t>
            </w:r>
          </w:p>
        </w:tc>
        <w:tc>
          <w:tcPr>
            <w:tcW w:w="4089" w:type="pct"/>
            <w:vAlign w:val="center"/>
          </w:tcPr>
          <w:p w14:paraId="6881258B"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Sağlık raporu düzenlemeyi gözlemleme</w:t>
            </w:r>
          </w:p>
        </w:tc>
        <w:tc>
          <w:tcPr>
            <w:tcW w:w="560" w:type="pct"/>
            <w:vAlign w:val="center"/>
          </w:tcPr>
          <w:p w14:paraId="3D8A2BA0"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377B662B"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4AF7B77"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9</w:t>
            </w:r>
          </w:p>
        </w:tc>
        <w:tc>
          <w:tcPr>
            <w:tcW w:w="4089" w:type="pct"/>
            <w:vAlign w:val="center"/>
          </w:tcPr>
          <w:p w14:paraId="6B20699B"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Kronik hastalık takibi yapma</w:t>
            </w:r>
          </w:p>
        </w:tc>
        <w:tc>
          <w:tcPr>
            <w:tcW w:w="560" w:type="pct"/>
            <w:vAlign w:val="center"/>
          </w:tcPr>
          <w:p w14:paraId="5580564B"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3</w:t>
            </w:r>
          </w:p>
        </w:tc>
      </w:tr>
      <w:tr w:rsidR="000D17AB" w:rsidRPr="000D17AB" w14:paraId="30406FCB"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40B612E"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10</w:t>
            </w:r>
          </w:p>
        </w:tc>
        <w:tc>
          <w:tcPr>
            <w:tcW w:w="4089" w:type="pct"/>
            <w:vAlign w:val="center"/>
          </w:tcPr>
          <w:p w14:paraId="139BE839"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Evlilik öncesi danışmanlık</w:t>
            </w:r>
          </w:p>
        </w:tc>
        <w:tc>
          <w:tcPr>
            <w:tcW w:w="560" w:type="pct"/>
            <w:vAlign w:val="center"/>
          </w:tcPr>
          <w:p w14:paraId="5F288342"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53C8812A"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30D790B"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11</w:t>
            </w:r>
          </w:p>
        </w:tc>
        <w:tc>
          <w:tcPr>
            <w:tcW w:w="4089" w:type="pct"/>
            <w:vAlign w:val="center"/>
          </w:tcPr>
          <w:p w14:paraId="26E95A9D"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Bildirimi zorunlu hastalıkların bildirimini yapma</w:t>
            </w:r>
          </w:p>
        </w:tc>
        <w:tc>
          <w:tcPr>
            <w:tcW w:w="560" w:type="pct"/>
            <w:vAlign w:val="center"/>
          </w:tcPr>
          <w:p w14:paraId="6145F4AD"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1C5C9B16"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E100CD0"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12</w:t>
            </w:r>
          </w:p>
        </w:tc>
        <w:tc>
          <w:tcPr>
            <w:tcW w:w="4089" w:type="pct"/>
            <w:vAlign w:val="center"/>
          </w:tcPr>
          <w:p w14:paraId="58C85842"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Aile hekimliği formları doldurma</w:t>
            </w:r>
          </w:p>
        </w:tc>
        <w:tc>
          <w:tcPr>
            <w:tcW w:w="560" w:type="pct"/>
            <w:vAlign w:val="center"/>
          </w:tcPr>
          <w:p w14:paraId="18EECDDF"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2</w:t>
            </w:r>
          </w:p>
        </w:tc>
      </w:tr>
      <w:tr w:rsidR="000D17AB" w:rsidRPr="000D17AB" w14:paraId="2D27A876" w14:textId="77777777" w:rsidTr="000D17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7B661E0"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13</w:t>
            </w:r>
          </w:p>
        </w:tc>
        <w:tc>
          <w:tcPr>
            <w:tcW w:w="4089" w:type="pct"/>
            <w:vAlign w:val="center"/>
          </w:tcPr>
          <w:p w14:paraId="1AD5A1C6" w14:textId="77777777" w:rsidR="000D17AB" w:rsidRPr="000D17AB" w:rsidRDefault="000D17AB" w:rsidP="000D17A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ASM’de malzeme takibi yapma</w:t>
            </w:r>
          </w:p>
        </w:tc>
        <w:tc>
          <w:tcPr>
            <w:tcW w:w="560" w:type="pct"/>
            <w:vAlign w:val="center"/>
          </w:tcPr>
          <w:p w14:paraId="10ABE2C7" w14:textId="77777777" w:rsidR="000D17AB" w:rsidRPr="000D17AB" w:rsidRDefault="000D17AB" w:rsidP="000D17A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1</w:t>
            </w:r>
          </w:p>
        </w:tc>
      </w:tr>
      <w:tr w:rsidR="000D17AB" w:rsidRPr="000D17AB" w14:paraId="42F79855" w14:textId="77777777" w:rsidTr="000D17AB">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5768B3C" w14:textId="77777777" w:rsidR="000D17AB" w:rsidRPr="000D17AB" w:rsidRDefault="000D17AB" w:rsidP="000D17AB">
            <w:pPr>
              <w:rPr>
                <w:rFonts w:ascii="Calibri" w:eastAsia="Calibri" w:hAnsi="Calibri" w:cs="Times New Roman"/>
              </w:rPr>
            </w:pPr>
            <w:r w:rsidRPr="000D17AB">
              <w:rPr>
                <w:rFonts w:ascii="Calibri" w:eastAsia="Calibri" w:hAnsi="Calibri" w:cs="Times New Roman"/>
              </w:rPr>
              <w:t>14</w:t>
            </w:r>
          </w:p>
        </w:tc>
        <w:tc>
          <w:tcPr>
            <w:tcW w:w="4089" w:type="pct"/>
            <w:vAlign w:val="center"/>
          </w:tcPr>
          <w:p w14:paraId="0FC86ADF" w14:textId="77777777" w:rsidR="000D17AB" w:rsidRPr="000D17AB" w:rsidRDefault="000D17AB" w:rsidP="000D17A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Aşılar ve saklama koşullarını, aşı takip sistemini, aşı tedariği belirlemeyi bilme</w:t>
            </w:r>
          </w:p>
        </w:tc>
        <w:tc>
          <w:tcPr>
            <w:tcW w:w="560" w:type="pct"/>
            <w:vAlign w:val="center"/>
          </w:tcPr>
          <w:p w14:paraId="16B899F9" w14:textId="77777777" w:rsidR="000D17AB" w:rsidRPr="000D17AB" w:rsidRDefault="000D17AB" w:rsidP="000D17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D17AB">
              <w:rPr>
                <w:rFonts w:ascii="Calibri" w:eastAsia="Calibri" w:hAnsi="Calibri" w:cs="Times New Roman"/>
              </w:rPr>
              <w:t>1</w:t>
            </w:r>
          </w:p>
        </w:tc>
      </w:tr>
    </w:tbl>
    <w:p w14:paraId="2F9BDB88" w14:textId="77777777" w:rsidR="000D17AB" w:rsidRPr="000D17AB" w:rsidRDefault="000D17AB" w:rsidP="000D17AB">
      <w:pPr>
        <w:spacing w:after="0" w:line="240" w:lineRule="auto"/>
        <w:jc w:val="both"/>
        <w:rPr>
          <w:rFonts w:ascii="Times New Roman" w:eastAsia="Calibri" w:hAnsi="Times New Roman"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4" w:name="_Toc73453216"/>
      <w:r w:rsidRPr="000D17AB">
        <w:rPr>
          <w:rFonts w:ascii="Arial" w:eastAsia="Times New Roman" w:hAnsi="Arial" w:cs="Times New Roman"/>
          <w:b/>
          <w:sz w:val="24"/>
          <w:szCs w:val="26"/>
        </w:rPr>
        <w:t>Tutum ve Davranış Değerlendirme</w:t>
      </w:r>
      <w:bookmarkEnd w:id="4"/>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lastRenderedPageBreak/>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0FA9" w14:textId="77777777" w:rsidR="00B756E6" w:rsidRDefault="00B756E6" w:rsidP="002A445D">
      <w:pPr>
        <w:spacing w:after="0" w:line="240" w:lineRule="auto"/>
      </w:pPr>
      <w:r>
        <w:separator/>
      </w:r>
    </w:p>
  </w:endnote>
  <w:endnote w:type="continuationSeparator" w:id="0">
    <w:p w14:paraId="60BFF495" w14:textId="77777777" w:rsidR="00B756E6" w:rsidRDefault="00B756E6"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2AF9" w14:textId="77777777" w:rsidR="00B756E6" w:rsidRDefault="00B756E6" w:rsidP="002A445D">
      <w:pPr>
        <w:spacing w:after="0" w:line="240" w:lineRule="auto"/>
      </w:pPr>
      <w:r>
        <w:separator/>
      </w:r>
    </w:p>
  </w:footnote>
  <w:footnote w:type="continuationSeparator" w:id="0">
    <w:p w14:paraId="36EF2C0A" w14:textId="77777777" w:rsidR="00B756E6" w:rsidRDefault="00B756E6"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147B8"/>
    <w:rsid w:val="00077CDC"/>
    <w:rsid w:val="00090FDE"/>
    <w:rsid w:val="000B74BD"/>
    <w:rsid w:val="000C10EB"/>
    <w:rsid w:val="000D17AB"/>
    <w:rsid w:val="001018CF"/>
    <w:rsid w:val="00151CFC"/>
    <w:rsid w:val="00217BD0"/>
    <w:rsid w:val="0022208E"/>
    <w:rsid w:val="002635FE"/>
    <w:rsid w:val="002A445D"/>
    <w:rsid w:val="002A5540"/>
    <w:rsid w:val="002A5575"/>
    <w:rsid w:val="003079D6"/>
    <w:rsid w:val="00347523"/>
    <w:rsid w:val="00355220"/>
    <w:rsid w:val="003702C6"/>
    <w:rsid w:val="003A2AC9"/>
    <w:rsid w:val="004C4FC1"/>
    <w:rsid w:val="004C5C78"/>
    <w:rsid w:val="00504395"/>
    <w:rsid w:val="00526DB4"/>
    <w:rsid w:val="005808D8"/>
    <w:rsid w:val="005A18C0"/>
    <w:rsid w:val="006410DA"/>
    <w:rsid w:val="00670126"/>
    <w:rsid w:val="006B4939"/>
    <w:rsid w:val="006C0138"/>
    <w:rsid w:val="006C3F21"/>
    <w:rsid w:val="00726BFC"/>
    <w:rsid w:val="00731390"/>
    <w:rsid w:val="00791036"/>
    <w:rsid w:val="007D73CE"/>
    <w:rsid w:val="007D780D"/>
    <w:rsid w:val="007E6CB5"/>
    <w:rsid w:val="00833E92"/>
    <w:rsid w:val="008609B9"/>
    <w:rsid w:val="008A0AE5"/>
    <w:rsid w:val="00901377"/>
    <w:rsid w:val="0090163D"/>
    <w:rsid w:val="00940DC7"/>
    <w:rsid w:val="009966DE"/>
    <w:rsid w:val="009D2C41"/>
    <w:rsid w:val="00A00C0F"/>
    <w:rsid w:val="00A56D5F"/>
    <w:rsid w:val="00A64FA3"/>
    <w:rsid w:val="00AF3079"/>
    <w:rsid w:val="00B41478"/>
    <w:rsid w:val="00B756E6"/>
    <w:rsid w:val="00BD546F"/>
    <w:rsid w:val="00BE2231"/>
    <w:rsid w:val="00C14813"/>
    <w:rsid w:val="00C424A0"/>
    <w:rsid w:val="00C60610"/>
    <w:rsid w:val="00CB4C13"/>
    <w:rsid w:val="00D27CCF"/>
    <w:rsid w:val="00D408C5"/>
    <w:rsid w:val="00D5562E"/>
    <w:rsid w:val="00DE6AA4"/>
    <w:rsid w:val="00E26B84"/>
    <w:rsid w:val="00E47AFF"/>
    <w:rsid w:val="00E60046"/>
    <w:rsid w:val="00EA27AE"/>
    <w:rsid w:val="00EB1BE8"/>
    <w:rsid w:val="00F13310"/>
    <w:rsid w:val="00F21D8B"/>
    <w:rsid w:val="00F3585F"/>
    <w:rsid w:val="00F45986"/>
    <w:rsid w:val="00FB4ED2"/>
    <w:rsid w:val="00FC79C2"/>
    <w:rsid w:val="00FE2FD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1871</Words>
  <Characters>10670</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32</cp:revision>
  <dcterms:created xsi:type="dcterms:W3CDTF">2021-06-21T12:02:00Z</dcterms:created>
  <dcterms:modified xsi:type="dcterms:W3CDTF">2021-06-29T14:11:00Z</dcterms:modified>
</cp:coreProperties>
</file>