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8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12"/>
        <w:gridCol w:w="1584"/>
        <w:gridCol w:w="2879"/>
        <w:gridCol w:w="1264"/>
        <w:gridCol w:w="1264"/>
        <w:gridCol w:w="382"/>
        <w:gridCol w:w="334"/>
        <w:gridCol w:w="1366"/>
      </w:tblGrid>
      <w:tr>
        <w:trPr>
          <w:trHeight w:val="300" w:hRule="atLeast"/>
        </w:trPr>
        <w:tc>
          <w:tcPr>
            <w:tcW w:w="5875"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TIP510  Kulak Burun Boğaz Hastalıkları Ders Kurulu</w:t>
            </w:r>
          </w:p>
        </w:tc>
        <w:tc>
          <w:tcPr>
            <w:tcW w:w="4610"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Programın Adı: Tıp Fakültesi</w:t>
            </w:r>
          </w:p>
        </w:tc>
      </w:tr>
      <w:tr>
        <w:trPr>
          <w:trHeight w:val="300" w:hRule="atLeast"/>
        </w:trPr>
        <w:tc>
          <w:tcPr>
            <w:tcW w:w="1412" w:type="dxa"/>
            <w:vMerge w:val="restart"/>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Yıl</w:t>
            </w:r>
          </w:p>
        </w:tc>
        <w:tc>
          <w:tcPr>
            <w:tcW w:w="6991" w:type="dxa"/>
            <w:gridSpan w:val="4"/>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Eğitim ve Öğretim Yöntemleri</w:t>
            </w:r>
          </w:p>
        </w:tc>
        <w:tc>
          <w:tcPr>
            <w:tcW w:w="208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Krediler</w:t>
            </w:r>
          </w:p>
        </w:tc>
      </w:tr>
      <w:tr>
        <w:trPr>
          <w:trHeight w:val="480" w:hRule="atLeast"/>
        </w:trPr>
        <w:tc>
          <w:tcPr>
            <w:tcW w:w="1412" w:type="dxa"/>
            <w:vMerge w:val="continue"/>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158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Teori</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879"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Uygulama</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52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w:t>
            </w:r>
          </w:p>
        </w:tc>
        <w:tc>
          <w:tcPr>
            <w:tcW w:w="1366"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w:t>
            </w:r>
          </w:p>
        </w:tc>
      </w:tr>
      <w:tr>
        <w:trPr>
          <w:trHeight w:val="300"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V</w:t>
            </w:r>
          </w:p>
        </w:tc>
        <w:tc>
          <w:tcPr>
            <w:tcW w:w="1584"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32</w:t>
            </w:r>
          </w:p>
        </w:tc>
        <w:tc>
          <w:tcPr>
            <w:tcW w:w="2879"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49</w:t>
            </w:r>
          </w:p>
        </w:tc>
        <w:tc>
          <w:tcPr>
            <w:tcW w:w="252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81</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81</w:t>
            </w:r>
          </w:p>
        </w:tc>
        <w:tc>
          <w:tcPr>
            <w:tcW w:w="1366"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w:t>
            </w:r>
          </w:p>
        </w:tc>
      </w:tr>
      <w:tr>
        <w:trPr>
          <w:trHeight w:val="300" w:hRule="atLeast"/>
        </w:trPr>
        <w:tc>
          <w:tcPr>
            <w:tcW w:w="1412"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Ders dili</w:t>
            </w:r>
          </w:p>
        </w:tc>
        <w:tc>
          <w:tcPr>
            <w:tcW w:w="9073"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Türkçe</w:t>
            </w:r>
          </w:p>
        </w:tc>
      </w:tr>
      <w:tr>
        <w:trPr>
          <w:trHeight w:val="510" w:hRule="atLeast"/>
        </w:trPr>
        <w:tc>
          <w:tcPr>
            <w:tcW w:w="1412"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Zorunlu/ Seçmeli</w:t>
            </w:r>
          </w:p>
        </w:tc>
        <w:tc>
          <w:tcPr>
            <w:tcW w:w="9073"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Zorunlu</w:t>
            </w:r>
          </w:p>
        </w:tc>
      </w:tr>
      <w:tr>
        <w:trPr>
          <w:trHeight w:val="300" w:hRule="atLeast"/>
        </w:trPr>
        <w:tc>
          <w:tcPr>
            <w:tcW w:w="1412"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Ön şartlar</w:t>
            </w:r>
          </w:p>
        </w:tc>
        <w:tc>
          <w:tcPr>
            <w:tcW w:w="9073"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Tıp Fakültesi Sınıf 5 (Beş) Öğrencisi Olmak</w:t>
            </w:r>
          </w:p>
        </w:tc>
      </w:tr>
      <w:tr>
        <w:trPr>
          <w:trHeight w:val="300" w:hRule="atLeast"/>
        </w:trPr>
        <w:tc>
          <w:tcPr>
            <w:tcW w:w="1412"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Dersin amacı</w:t>
            </w:r>
          </w:p>
        </w:tc>
        <w:tc>
          <w:tcPr>
            <w:tcW w:w="9073"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 w:ascii="Times New Roman" w:hAnsi="Times New Roman"/>
                <w:kern w:val="0"/>
                <w:sz w:val="20"/>
                <w:szCs w:val="20"/>
                <w:lang w:val="tr-TR" w:eastAsia="en-US" w:bidi="ar-SA"/>
              </w:rPr>
              <w:t>Birinci basamak sağlık hizmeti verebilecek düzeyde, KBB alanında sık görülen hastalıklara tanı koyabilme, tedavi edebilme ve acil şartlarda solunum obstrüksiyonu ve epistaksis gibi hastalıkları yönetebilme ve sevk edilecek hastalıkları ayırt etme yetisine sahip hekimler yetiştirmektir.</w:t>
            </w:r>
          </w:p>
        </w:tc>
      </w:tr>
      <w:tr>
        <w:trPr>
          <w:trHeight w:val="300" w:hRule="atLeast"/>
        </w:trPr>
        <w:tc>
          <w:tcPr>
            <w:tcW w:w="1412"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 içeriği</w:t>
            </w:r>
          </w:p>
        </w:tc>
        <w:tc>
          <w:tcPr>
            <w:tcW w:w="9073"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Ayrıntılı ve güvenilir öykü almalı, t</w:t>
            </w:r>
            <w:r>
              <w:rPr>
                <w:rFonts w:eastAsia="Calibri" w:cs="" w:ascii="Times New Roman" w:hAnsi="Times New Roman"/>
                <w:color w:val="000000"/>
                <w:kern w:val="0"/>
                <w:sz w:val="20"/>
                <w:szCs w:val="20"/>
                <w:shd w:fill="FFFFFF" w:val="clear"/>
                <w:lang w:val="tr-TR" w:eastAsia="en-US" w:bidi="ar-SA"/>
              </w:rPr>
              <w:t>emel</w:t>
            </w:r>
            <w:r>
              <w:rPr>
                <w:rFonts w:eastAsia="Calibri" w:cs="" w:ascii="Times New Roman" w:hAnsi="Times New Roman"/>
                <w:color w:val="000000"/>
                <w:kern w:val="0"/>
                <w:sz w:val="20"/>
                <w:szCs w:val="20"/>
                <w:lang w:val="tr-TR" w:eastAsia="en-US" w:bidi="ar-SA"/>
              </w:rPr>
              <w:t> </w:t>
            </w:r>
            <w:r>
              <w:rPr>
                <w:rFonts w:eastAsia="Calibri" w:cs="" w:ascii="Times New Roman" w:hAnsi="Times New Roman"/>
                <w:bCs/>
                <w:color w:val="000000"/>
                <w:kern w:val="0"/>
                <w:sz w:val="20"/>
                <w:szCs w:val="20"/>
                <w:lang w:val="tr-TR" w:eastAsia="en-US" w:bidi="ar-SA"/>
              </w:rPr>
              <w:t>baş-boyun muayenesi</w:t>
            </w:r>
            <w:r>
              <w:rPr>
                <w:rFonts w:eastAsia="Calibri" w:cs="" w:ascii="Times New Roman" w:hAnsi="Times New Roman"/>
                <w:color w:val="000000"/>
                <w:kern w:val="0"/>
                <w:sz w:val="20"/>
                <w:szCs w:val="20"/>
                <w:shd w:fill="FFFFFF" w:val="clear"/>
                <w:lang w:val="tr-TR" w:eastAsia="en-US" w:bidi="ar-SA"/>
              </w:rPr>
              <w:t>ni mezun olduktan sonra ilgili muayene aletleri (otoskop, ışık kaynağı, dil basacağı, burun spekulumu) ile tam olarak yapabilmeli,</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Kulak Burun Boğaz alanında sık görülen hastalıklar hakkında bilgi sahibiolmalı, tanı ve tedavi yaklaşımlarına hakim olmalı</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Birinci basamak düzeyinde tanıya uygun tedaviyi düzenleyebilmeli</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Hastalıklarda ayırıcı tanıyı yapabilmeli, sevk gerektirecek hastalıkları belirleyebilmeli</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Akut dispne ve epistaksis gibi KBB acil hastalıklarına müdahale edebilmeli ve sonraki süreci planlayabilmeli</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Laboratuvar, radyolojik, odyolojik tetkikleri değerlendirip yorum yapabilmeli</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 xml:space="preserve">Tıbbi bilişim teknolojilerini ve/veya dökümente edilmiş kaynakları kullanarak bir hastalık hakkında seminer sunabilmeli </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 xml:space="preserve">Erken tanıyı sağlayabilecek semptom ve tanı yöntemlerini bilmeli, hasta yönlendirmelerini buna göre yapabilmeli </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Serviste sorumlu olduğu hastaların takiplerini yapabilmeli (dosyala hazırlama ve sunma, epikriz hazırlama) poliklinik uygulamalarında reçete düzenleyebilmeli</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 xml:space="preserve">Tanı ve tedavi işlemlerinin etik ve yasal yönlerini bilip, ülke için ekonomik yükünü değerlendirebilmeli </w:t>
            </w:r>
          </w:p>
          <w:p>
            <w:pPr>
              <w:pStyle w:val="ListParagraph"/>
              <w:widowControl/>
              <w:numPr>
                <w:ilvl w:val="0"/>
                <w:numId w:val="2"/>
              </w:numPr>
              <w:suppressAutoHyphens w:val="false"/>
              <w:spacing w:lineRule="auto" w:line="240" w:before="0" w:after="200"/>
              <w:contextualSpacing/>
              <w:jc w:val="left"/>
              <w:rPr>
                <w:rFonts w:ascii="Times New Roman" w:hAnsi="Times New Roman"/>
                <w:sz w:val="20"/>
                <w:szCs w:val="20"/>
              </w:rPr>
            </w:pPr>
            <w:r>
              <w:rPr>
                <w:rFonts w:eastAsia="Calibri" w:cs="" w:ascii="Times New Roman" w:hAnsi="Times New Roman"/>
                <w:kern w:val="0"/>
                <w:sz w:val="20"/>
                <w:szCs w:val="20"/>
                <w:lang w:val="tr-TR" w:eastAsia="en-US" w:bidi="ar-SA"/>
              </w:rPr>
              <w:t xml:space="preserve">Hasta ve hasta yakınlarına karşı sorumluluğunu bilip, temel sağlık mevzuatına, etik kurallara ve hekimlik onuruna uygun davranabilmeli  </w:t>
            </w:r>
          </w:p>
        </w:tc>
      </w:tr>
      <w:tr>
        <w:trPr>
          <w:trHeight w:val="300" w:hRule="atLeast"/>
        </w:trPr>
        <w:tc>
          <w:tcPr>
            <w:tcW w:w="1412"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Hedefler</w:t>
            </w:r>
          </w:p>
        </w:tc>
        <w:tc>
          <w:tcPr>
            <w:tcW w:w="9073" w:type="dxa"/>
            <w:gridSpan w:val="7"/>
            <w:tcBorders>
              <w:top w:val="nil"/>
            </w:tcBorders>
            <w:shd w:color="auto" w:fill="auto" w:val="clear"/>
            <w:vAlign w:val="center"/>
          </w:tcPr>
          <w:p>
            <w:pPr>
              <w:pStyle w:val="Normal"/>
              <w:widowControl/>
              <w:suppressAutoHyphens w:val="true"/>
              <w:spacing w:lineRule="auto" w:line="360" w:before="0" w:after="160"/>
              <w:jc w:val="left"/>
              <w:rPr>
                <w:rFonts w:ascii="Times New Roman" w:hAnsi="Times New Roman"/>
                <w:b/>
                <w:color w:val="000000"/>
                <w:sz w:val="20"/>
                <w:szCs w:val="20"/>
                <w:u w:val="single"/>
                <w:lang w:eastAsia="tr-TR"/>
              </w:rPr>
            </w:pPr>
            <w:r>
              <w:rPr>
                <w:rFonts w:eastAsia="Calibri" w:cs="" w:ascii="Times New Roman" w:hAnsi="Times New Roman"/>
                <w:b/>
                <w:color w:val="000000"/>
                <w:kern w:val="0"/>
                <w:sz w:val="20"/>
                <w:szCs w:val="20"/>
                <w:u w:val="single"/>
                <w:lang w:val="tr-TR" w:eastAsia="tr-TR" w:bidi="ar-SA"/>
              </w:rPr>
              <w:t xml:space="preserve">Alanla ilgili mesleksel beceriler: </w:t>
            </w:r>
          </w:p>
          <w:p>
            <w:pPr>
              <w:pStyle w:val="Normal"/>
              <w:widowControl/>
              <w:suppressAutoHyphens w:val="true"/>
              <w:spacing w:lineRule="auto" w:line="360" w:before="0" w:after="160"/>
              <w:jc w:val="left"/>
              <w:rPr>
                <w:rFonts w:ascii="Times New Roman" w:hAnsi="Times New Roman"/>
                <w:b/>
                <w:color w:val="000000"/>
                <w:sz w:val="20"/>
                <w:szCs w:val="20"/>
                <w:u w:val="single"/>
                <w:lang w:eastAsia="tr-TR"/>
              </w:rPr>
            </w:pPr>
            <w:r>
              <w:rPr>
                <w:rFonts w:eastAsia="Calibri" w:cs="" w:ascii="Times New Roman" w:hAnsi="Times New Roman"/>
                <w:color w:val="000000"/>
                <w:kern w:val="0"/>
                <w:sz w:val="20"/>
                <w:szCs w:val="20"/>
                <w:shd w:fill="FFFFFF" w:val="clear"/>
                <w:lang w:val="tr-TR" w:eastAsia="en-US" w:bidi="ar-SA"/>
              </w:rPr>
              <w:t>Beş temel duyumuzdan üçü (işitme, koku ve tat alma) KBB branşının ilgi sahası içindedir. KBB uzmanları almış oldukları eğitim gereği, plevra ile dura arasında, göz kürelerinin dışındaki baş-boyun bölgesini ilgilendiren çok geniş bir alandaki hastalıkların tıbbi ve cerrahi tedavileri ile ilgilenmektedirler. Tıp eğitiminin küçük bir bölümünü içeren bu staj boyunca öğrenciler, tonsillit, sinüzit, otit gibi enflamatuar hastalıklardan larenkskarsinomu gibi baş boyun bölgesinin onkolojik hastalıklarına kadar çok geniş yelpazedeki hastalıklar hakkında b</w:t>
            </w:r>
            <w:r>
              <w:rPr>
                <w:rFonts w:eastAsia="Calibri" w:cs="" w:ascii="Times New Roman" w:hAnsi="Times New Roman"/>
                <w:kern w:val="0"/>
                <w:sz w:val="20"/>
                <w:szCs w:val="20"/>
                <w:lang w:val="tr-TR" w:eastAsia="en-US" w:bidi="ar-SA"/>
              </w:rPr>
              <w:t>irinci basamak sağlık hizmeti seviyesinde</w:t>
            </w:r>
            <w:r>
              <w:rPr>
                <w:rFonts w:eastAsia="Calibri" w:cs="" w:ascii="Times New Roman" w:hAnsi="Times New Roman"/>
                <w:color w:val="000000"/>
                <w:kern w:val="0"/>
                <w:sz w:val="20"/>
                <w:szCs w:val="20"/>
                <w:shd w:fill="FFFFFF" w:val="clear"/>
                <w:lang w:val="tr-TR" w:eastAsia="en-US" w:bidi="ar-SA"/>
              </w:rPr>
              <w:t xml:space="preserve"> bilgilendirilecektir.</w:t>
            </w:r>
          </w:p>
          <w:p>
            <w:pPr>
              <w:pStyle w:val="Normal"/>
              <w:widowControl/>
              <w:suppressAutoHyphens w:val="true"/>
              <w:spacing w:before="0" w:after="160"/>
              <w:jc w:val="both"/>
              <w:rPr>
                <w:rFonts w:ascii="Times New Roman" w:hAnsi="Times New Roman"/>
                <w:b/>
                <w:color w:val="000000"/>
                <w:sz w:val="20"/>
                <w:szCs w:val="20"/>
                <w:u w:val="single"/>
                <w:lang w:eastAsia="tr-TR"/>
              </w:rPr>
            </w:pPr>
            <w:r>
              <w:rPr>
                <w:rFonts w:eastAsia="Calibri" w:cs="" w:ascii="Times New Roman" w:hAnsi="Times New Roman"/>
                <w:b/>
                <w:color w:val="000000"/>
                <w:kern w:val="0"/>
                <w:sz w:val="20"/>
                <w:szCs w:val="20"/>
                <w:u w:val="single"/>
                <w:lang w:val="tr-TR" w:eastAsia="tr-TR" w:bidi="ar-SA"/>
              </w:rPr>
              <w:t xml:space="preserve">Alanla ilgili topluma dayalı bileşenler: </w:t>
            </w:r>
          </w:p>
          <w:p>
            <w:pPr>
              <w:pStyle w:val="Normal"/>
              <w:widowControl/>
              <w:suppressAutoHyphens w:val="true"/>
              <w:spacing w:before="0" w:after="160"/>
              <w:ind w:left="157"/>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1- Yenidoğan işitme taraması programının öneminin kavranması ve temel bilgilerin verilmesi</w:t>
            </w:r>
          </w:p>
          <w:p>
            <w:pPr>
              <w:pStyle w:val="Normal"/>
              <w:widowControl/>
              <w:suppressAutoHyphens w:val="true"/>
              <w:spacing w:before="0" w:after="160"/>
              <w:ind w:left="157"/>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2- Gürültüye bağlı işitme kaybından korunma ve önleme yöntemleri konusunda bilgilendirmek</w:t>
            </w:r>
          </w:p>
          <w:p>
            <w:pPr>
              <w:pStyle w:val="Normal"/>
              <w:widowControl/>
              <w:suppressAutoHyphens w:val="true"/>
              <w:spacing w:before="0" w:after="160"/>
              <w:ind w:left="157"/>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3- İşitme kaybı ve tinnitus ile ilişkili ototoksik ilaçlar konusunda bilgilendirme yapmak</w:t>
            </w:r>
          </w:p>
          <w:p>
            <w:pPr>
              <w:pStyle w:val="Normal"/>
              <w:widowControl/>
              <w:suppressAutoHyphens w:val="true"/>
              <w:spacing w:before="0" w:after="160"/>
              <w:ind w:left="157"/>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4- Efüzyonluotitismedia nedeniyle işitme kaybı olan okul dönemi çocukları tanıyarak tedavi için yönlendirme ve bilgilendirme yapmak</w:t>
            </w:r>
          </w:p>
          <w:p>
            <w:pPr>
              <w:pStyle w:val="Normal"/>
              <w:widowControl/>
              <w:suppressAutoHyphens w:val="true"/>
              <w:spacing w:before="0" w:after="160"/>
              <w:ind w:left="157"/>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5- Sık görülen üst solumun yolu enfeksiyonlarından (otit, sinüzit, adenoidit) korunma ve önleme yöntemlerinin aktarılması</w:t>
            </w:r>
          </w:p>
          <w:p>
            <w:pPr>
              <w:pStyle w:val="Normal"/>
              <w:widowControl/>
              <w:suppressAutoHyphens w:val="true"/>
              <w:spacing w:before="48" w:after="160"/>
              <w:jc w:val="left"/>
              <w:rPr>
                <w:rFonts w:ascii="Times New Roman" w:hAnsi="Times New Roman" w:cs="Times New Roman"/>
                <w:sz w:val="20"/>
                <w:szCs w:val="20"/>
              </w:rPr>
            </w:pPr>
            <w:r>
              <w:rPr>
                <w:rFonts w:eastAsia="Calibri" w:cs="" w:ascii="Times New Roman" w:hAnsi="Times New Roman"/>
                <w:color w:val="000000"/>
                <w:kern w:val="0"/>
                <w:sz w:val="20"/>
                <w:szCs w:val="20"/>
                <w:lang w:val="tr-TR" w:eastAsia="tr-TR" w:bidi="ar-SA"/>
              </w:rPr>
              <w:t>6- Basınç değişikliklerinin (uçak, dalma) orta kulak ve sinüs üzerine etkileri ve barotravmayı önleme yöntemlerinin aktarılması</w:t>
            </w:r>
          </w:p>
        </w:tc>
      </w:tr>
      <w:tr>
        <w:trPr>
          <w:trHeight w:val="300" w:hRule="atLeast"/>
        </w:trPr>
        <w:tc>
          <w:tcPr>
            <w:tcW w:w="1412"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Kaynak kitap</w:t>
            </w:r>
          </w:p>
        </w:tc>
        <w:tc>
          <w:tcPr>
            <w:tcW w:w="9073" w:type="dxa"/>
            <w:gridSpan w:val="7"/>
            <w:tcBorders>
              <w:top w:val="nil"/>
            </w:tcBorders>
            <w:shd w:color="auto" w:fill="auto" w:val="clear"/>
            <w:vAlign w:val="center"/>
          </w:tcPr>
          <w:p>
            <w:pPr>
              <w:pStyle w:val="ListParagraph"/>
              <w:widowControl/>
              <w:numPr>
                <w:ilvl w:val="0"/>
                <w:numId w:val="1"/>
              </w:numPr>
              <w:suppressAutoHyphens w:val="false"/>
              <w:spacing w:lineRule="auto" w:line="276" w:before="0" w:after="0"/>
              <w:contextualSpacing/>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Staj boyunca teorik ders için ders notlarından yararlanılabilir.</w:t>
            </w:r>
          </w:p>
          <w:p>
            <w:pPr>
              <w:pStyle w:val="ListParagraph"/>
              <w:widowControl/>
              <w:numPr>
                <w:ilvl w:val="0"/>
                <w:numId w:val="1"/>
              </w:numPr>
              <w:suppressAutoHyphens w:val="false"/>
              <w:spacing w:lineRule="auto" w:line="276" w:before="0" w:after="0"/>
              <w:contextualSpacing/>
              <w:jc w:val="both"/>
              <w:rPr>
                <w:rFonts w:ascii="Times New Roman" w:hAnsi="Times New Roman"/>
                <w:color w:val="000000"/>
                <w:sz w:val="20"/>
                <w:szCs w:val="20"/>
                <w:lang w:eastAsia="tr-TR"/>
              </w:rPr>
            </w:pPr>
            <w:r>
              <w:rPr>
                <w:rFonts w:eastAsia="Calibri" w:cs="" w:ascii="Times New Roman" w:hAnsi="Times New Roman"/>
                <w:color w:val="000000"/>
                <w:kern w:val="0"/>
                <w:sz w:val="20"/>
                <w:szCs w:val="20"/>
                <w:lang w:val="tr-TR" w:eastAsia="tr-TR" w:bidi="ar-SA"/>
              </w:rPr>
              <w:t>Can Koç. Kulak Burun Boğaz Hastalıkları ve Baş-Boyun Cerrahisi, Türkçe, Güneş Kitapevleri.</w:t>
            </w:r>
          </w:p>
          <w:p>
            <w:pPr>
              <w:pStyle w:val="ListParagraph"/>
              <w:widowControl/>
              <w:numPr>
                <w:ilvl w:val="0"/>
                <w:numId w:val="1"/>
              </w:numPr>
              <w:suppressAutoHyphens w:val="false"/>
              <w:spacing w:lineRule="auto" w:line="276" w:before="0" w:after="0"/>
              <w:contextualSpacing/>
              <w:jc w:val="both"/>
              <w:rPr>
                <w:rFonts w:ascii="Times New Roman" w:hAnsi="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Cummings Otolaryngology - Head and Neck Surgery(2014)</w:t>
            </w:r>
          </w:p>
        </w:tc>
      </w:tr>
      <w:tr>
        <w:trPr>
          <w:trHeight w:val="300" w:hRule="atLeast"/>
        </w:trPr>
        <w:tc>
          <w:tcPr>
            <w:tcW w:w="1412"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Değerlendime ölçütleri</w:t>
            </w:r>
          </w:p>
        </w:tc>
        <w:tc>
          <w:tcPr>
            <w:tcW w:w="9073"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Ders sonu teorik ve/veya pratik sınav/sınavları. Ödev puanı ve diğer etkinlik puanları disiplinler tarafından gerekli olduğu takdirde kullanılacaktır. Ders içindeki değerlendirme ölçütleri Tıp Fakültesi Sınav Yönergesinde belirtildiği üzere yapılacaktır.</w:t>
            </w:r>
          </w:p>
        </w:tc>
      </w:tr>
      <w:tr>
        <w:trPr>
          <w:trHeight w:val="300" w:hRule="atLeast"/>
        </w:trPr>
        <w:tc>
          <w:tcPr>
            <w:tcW w:w="10485" w:type="dxa"/>
            <w:gridSpan w:val="8"/>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Adı-Kodu:TIP510 – Kulak Burun Boğaz Hastalıkları Ders Kurulu</w:t>
            </w:r>
          </w:p>
        </w:tc>
      </w:tr>
      <w:tr>
        <w:trPr>
          <w:trHeight w:val="300" w:hRule="atLeast"/>
        </w:trPr>
        <w:tc>
          <w:tcPr>
            <w:tcW w:w="5875"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Etkinlik</w:t>
            </w:r>
          </w:p>
        </w:tc>
        <w:tc>
          <w:tcPr>
            <w:tcW w:w="1264" w:type="dxa"/>
            <w:tcBorders>
              <w:right w:val="nil"/>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Süresi (saat)</w:t>
            </w:r>
          </w:p>
        </w:tc>
        <w:tc>
          <w:tcPr>
            <w:tcW w:w="126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Hafta</w:t>
            </w:r>
          </w:p>
        </w:tc>
        <w:tc>
          <w:tcPr>
            <w:tcW w:w="208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Dersin sınıf için öğrenim süreci</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16</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8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Sınıf Dışı Ders Çalışma Süresi</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16</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8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Ara Sınavlar (Hekimlik becerileri vb.)</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8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Kısa Sınavlar (Vizit vb.)</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8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20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Laboratuvar çalışması</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8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Pratik sınav</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8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Teorik sınav</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82" w:type="dxa"/>
            <w:gridSpan w:val="3"/>
            <w:tcBorders/>
            <w:shd w:color="auto" w:fill="auto" w:val="clear"/>
            <w:vAlign w:val="center"/>
          </w:tcPr>
          <w:p>
            <w:pPr>
              <w:pStyle w:val="Tabloerii"/>
              <w:jc w:val="center"/>
              <w:rPr>
                <w:rFonts w:ascii="Times New Roman" w:hAnsi="Times New Roman"/>
                <w:color w:val="00000A"/>
                <w:sz w:val="20"/>
                <w:szCs w:val="20"/>
              </w:rPr>
            </w:pPr>
            <w:r>
              <w:rPr>
                <w:rFonts w:ascii="Times New Roman" w:hAnsi="Times New Roman"/>
                <w:color w:val="00000A"/>
                <w:sz w:val="20"/>
                <w:szCs w:val="20"/>
              </w:rPr>
              <w:t>20</w:t>
            </w:r>
          </w:p>
        </w:tc>
      </w:tr>
      <w:tr>
        <w:trPr>
          <w:trHeight w:val="300" w:hRule="atLeast"/>
        </w:trPr>
        <w:tc>
          <w:tcPr>
            <w:tcW w:w="8403"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sz w:val="20"/>
                <w:szCs w:val="20"/>
              </w:rPr>
            </w:pPr>
            <w:r>
              <w:rPr>
                <w:rFonts w:eastAsia="Times New Roman" w:cs="Times New Roman" w:ascii="Times New Roman" w:hAnsi="Times New Roman"/>
                <w:b/>
                <w:bCs/>
                <w:color w:val="000000"/>
                <w:kern w:val="0"/>
                <w:sz w:val="20"/>
                <w:szCs w:val="20"/>
                <w:lang w:val="tr-TR" w:eastAsia="tr-TR" w:bidi="ar-SA"/>
              </w:rPr>
              <w:t>Toplam İş Yükü:</w:t>
            </w:r>
          </w:p>
        </w:tc>
        <w:tc>
          <w:tcPr>
            <w:tcW w:w="208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124</w:t>
            </w:r>
          </w:p>
        </w:tc>
      </w:tr>
      <w:tr>
        <w:trPr>
          <w:trHeight w:val="300" w:hRule="atLeast"/>
        </w:trPr>
        <w:tc>
          <w:tcPr>
            <w:tcW w:w="8403"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sz w:val="20"/>
                <w:szCs w:val="20"/>
              </w:rPr>
            </w:pPr>
            <w:r>
              <w:rPr>
                <w:rFonts w:eastAsia="Times New Roman" w:cs="Times New Roman" w:ascii="Times New Roman" w:hAnsi="Times New Roman"/>
                <w:b/>
                <w:bCs/>
                <w:color w:val="000000"/>
                <w:kern w:val="0"/>
                <w:sz w:val="20"/>
                <w:szCs w:val="20"/>
                <w:lang w:val="tr-TR" w:eastAsia="tr-TR" w:bidi="ar-SA"/>
              </w:rPr>
              <w:t>Toplam İş Yükü / 30(s):</w:t>
            </w:r>
          </w:p>
        </w:tc>
        <w:tc>
          <w:tcPr>
            <w:tcW w:w="2082" w:type="dxa"/>
            <w:gridSpan w:val="3"/>
            <w:tcBorders/>
            <w:shd w:color="auto" w:fill="auto" w:val="clear"/>
            <w:vAlign w:val="center"/>
          </w:tcPr>
          <w:p>
            <w:pPr>
              <w:pStyle w:val="Normal"/>
              <w:widowControl/>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tr-TR" w:eastAsia="en-US" w:bidi="ar-SA"/>
              </w:rPr>
              <w:t>4,13</w:t>
            </w:r>
          </w:p>
        </w:tc>
      </w:tr>
      <w:tr>
        <w:trPr>
          <w:trHeight w:val="315" w:hRule="atLeast"/>
        </w:trPr>
        <w:tc>
          <w:tcPr>
            <w:tcW w:w="8403"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sz w:val="20"/>
                <w:szCs w:val="20"/>
              </w:rPr>
            </w:pPr>
            <w:r>
              <w:rPr>
                <w:rFonts w:eastAsia="Times New Roman" w:cs="Times New Roman" w:ascii="Times New Roman" w:hAnsi="Times New Roman"/>
                <w:b/>
                <w:bCs/>
                <w:color w:val="000000"/>
                <w:kern w:val="0"/>
                <w:sz w:val="20"/>
                <w:szCs w:val="20"/>
                <w:lang w:val="tr-TR" w:eastAsia="tr-TR" w:bidi="ar-SA"/>
              </w:rPr>
              <w:t>AKTS Kredisi:</w:t>
            </w:r>
          </w:p>
        </w:tc>
        <w:tc>
          <w:tcPr>
            <w:tcW w:w="208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w:t>
            </w:r>
          </w:p>
        </w:tc>
      </w:tr>
      <w:tr>
        <w:trPr>
          <w:trHeight w:val="300"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No</w:t>
            </w:r>
          </w:p>
        </w:tc>
        <w:tc>
          <w:tcPr>
            <w:tcW w:w="7373"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 xml:space="preserve">Program Yeterlilikleri (Öğrenme Çıktıları) </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 (1-5)</w:t>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7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700"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Trebuchet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4" w:hanging="360"/>
      </w:pPr>
      <w:rPr/>
    </w:lvl>
    <w:lvl w:ilvl="1">
      <w:start w:val="1"/>
      <w:numFmt w:val="lowerLetter"/>
      <w:lvlText w:val="%2."/>
      <w:lvlJc w:val="left"/>
      <w:pPr>
        <w:tabs>
          <w:tab w:val="num" w:pos="0"/>
        </w:tabs>
        <w:ind w:left="1284" w:hanging="360"/>
      </w:pPr>
      <w:rPr/>
    </w:lvl>
    <w:lvl w:ilvl="2">
      <w:start w:val="1"/>
      <w:numFmt w:val="lowerRoman"/>
      <w:lvlText w:val="%3."/>
      <w:lvlJc w:val="right"/>
      <w:pPr>
        <w:tabs>
          <w:tab w:val="num" w:pos="0"/>
        </w:tabs>
        <w:ind w:left="2004" w:hanging="180"/>
      </w:pPr>
      <w:rPr/>
    </w:lvl>
    <w:lvl w:ilvl="3">
      <w:start w:val="1"/>
      <w:numFmt w:val="decimal"/>
      <w:lvlText w:val="%4."/>
      <w:lvlJc w:val="left"/>
      <w:pPr>
        <w:tabs>
          <w:tab w:val="num" w:pos="0"/>
        </w:tabs>
        <w:ind w:left="2724" w:hanging="360"/>
      </w:pPr>
      <w:rPr/>
    </w:lvl>
    <w:lvl w:ilvl="4">
      <w:start w:val="1"/>
      <w:numFmt w:val="lowerLetter"/>
      <w:lvlText w:val="%5."/>
      <w:lvlJc w:val="left"/>
      <w:pPr>
        <w:tabs>
          <w:tab w:val="num" w:pos="0"/>
        </w:tabs>
        <w:ind w:left="3444" w:hanging="360"/>
      </w:pPr>
      <w:rPr/>
    </w:lvl>
    <w:lvl w:ilvl="5">
      <w:start w:val="1"/>
      <w:numFmt w:val="lowerRoman"/>
      <w:lvlText w:val="%6."/>
      <w:lvlJc w:val="right"/>
      <w:pPr>
        <w:tabs>
          <w:tab w:val="num" w:pos="0"/>
        </w:tabs>
        <w:ind w:left="4164" w:hanging="180"/>
      </w:pPr>
      <w:rPr/>
    </w:lvl>
    <w:lvl w:ilvl="6">
      <w:start w:val="1"/>
      <w:numFmt w:val="decimal"/>
      <w:lvlText w:val="%7."/>
      <w:lvlJc w:val="left"/>
      <w:pPr>
        <w:tabs>
          <w:tab w:val="num" w:pos="0"/>
        </w:tabs>
        <w:ind w:left="4884" w:hanging="360"/>
      </w:pPr>
      <w:rPr/>
    </w:lvl>
    <w:lvl w:ilvl="7">
      <w:start w:val="1"/>
      <w:numFmt w:val="lowerLetter"/>
      <w:lvlText w:val="%8."/>
      <w:lvlJc w:val="left"/>
      <w:pPr>
        <w:tabs>
          <w:tab w:val="num" w:pos="0"/>
        </w:tabs>
        <w:ind w:left="5604" w:hanging="360"/>
      </w:pPr>
      <w:rPr/>
    </w:lvl>
    <w:lvl w:ilvl="8">
      <w:start w:val="1"/>
      <w:numFmt w:val="lowerRoman"/>
      <w:lvlText w:val="%9."/>
      <w:lvlJc w:val="right"/>
      <w:pPr>
        <w:tabs>
          <w:tab w:val="num" w:pos="0"/>
        </w:tabs>
        <w:ind w:left="6324" w:hanging="180"/>
      </w:pPr>
      <w:rPr/>
    </w:lvl>
  </w:abstractNum>
  <w:abstractNum w:abstractNumId="2">
    <w:lvl w:ilvl="0">
      <w:start w:val="1"/>
      <w:numFmt w:val="decimal"/>
      <w:lvlText w:val="%1."/>
      <w:lvlJc w:val="left"/>
      <w:pPr>
        <w:tabs>
          <w:tab w:val="num" w:pos="0"/>
        </w:tabs>
        <w:ind w:left="720" w:hanging="360"/>
      </w:pPr>
      <w:rPr>
        <w:sz w:val="20"/>
        <w:szCs w:val="20"/>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name w:val="Internet Link"/>
    <w:basedOn w:val="DefaultParagraphFont"/>
    <w:uiPriority w:val="99"/>
    <w:unhideWhenUsed/>
    <w:qFormat/>
    <w:rsid w:val="00ad3e95"/>
    <w:rPr>
      <w:color w:themeColor="hyperlink" w:val="0563C1"/>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bilgi Char"/>
    <w:basedOn w:val="DefaultParagraphFont"/>
    <w:uiPriority w:val="99"/>
    <w:semiHidden/>
    <w:qFormat/>
    <w:rsid w:val="00ea2fc5"/>
    <w:rPr>
      <w:rFonts w:ascii="Trebuchet MS" w:hAnsi="Trebuchet MS" w:eastAsia="Trebuchet MS" w:cs="Trebuchet MS"/>
      <w:sz w:val="22"/>
      <w:lang w:val="en-US"/>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ListParagraph">
    <w:name w:val="List Paragraph"/>
    <w:basedOn w:val="Normal"/>
    <w:uiPriority w:val="99"/>
    <w:qFormat/>
    <w:rsid w:val="009966de"/>
    <w:pPr>
      <w:spacing w:before="0" w:after="160"/>
      <w:ind w:left="720"/>
      <w:contextualSpacing/>
    </w:pPr>
    <w:rPr/>
  </w:style>
  <w:style w:type="paragraph" w:styleId="NormalWeb">
    <w:name w:val="Normal (Web)"/>
    <w:basedOn w:val="Normal"/>
    <w:uiPriority w:val="99"/>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eastAsia="tr-TR" w:val="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rsid w:val="00eb0fa2"/>
    <w:pPr/>
    <w:rPr/>
  </w:style>
  <w:style w:type="paragraph" w:styleId="stBilgi2" w:customStyle="1">
    <w:name w:val="Üst Bilgi2"/>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AltBilgi2" w:customStyle="1">
    <w:name w:val="Alt Bilgi2"/>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6A768-6FD5-6B4F-BE11-6BF1EAF2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LibreOffice/24.2.5.2$Linux_X86_64 LibreOffice_project/420$Build-2</Application>
  <AppVersion>15.0000</AppVersion>
  <DocSecurity>0</DocSecurity>
  <Pages>3</Pages>
  <Words>759</Words>
  <Characters>5031</Characters>
  <CharactersWithSpaces>5665</CharactersWithSpaces>
  <Paragraphs>121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2023-08-09T10:22:00Z</dcterms:created>
  <dc:creator>KAMİL TURAN</dc:creator>
  <dc:description/>
  <dc:language>tr-TR</dc:language>
  <cp:lastModifiedBy>Muhammed Kamil Turan</cp:lastModifiedBy>
  <cp:lastPrinted>2020-08-27T09:02:00Z</cp:lastPrinted>
  <dcterms:modified xsi:type="dcterms:W3CDTF">2024-08-07T14:44:55Z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