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75883485"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5E4688">
              <w:rPr>
                <w:rFonts w:ascii="Arial" w:eastAsia="Times New Roman" w:hAnsi="Arial" w:cs="Arial"/>
                <w:color w:val="000000"/>
                <w:sz w:val="18"/>
                <w:szCs w:val="18"/>
                <w:lang w:eastAsia="tr-TR"/>
              </w:rPr>
              <w:t xml:space="preserve">Göğüs Hastalıkları </w:t>
            </w:r>
            <w:r w:rsidR="007D08CF">
              <w:rPr>
                <w:rFonts w:ascii="Arial" w:eastAsia="Times New Roman" w:hAnsi="Arial" w:cs="Arial"/>
                <w:color w:val="000000"/>
                <w:sz w:val="18"/>
                <w:szCs w:val="18"/>
                <w:lang w:eastAsia="tr-TR"/>
              </w:rPr>
              <w:t>–</w:t>
            </w:r>
            <w:r w:rsidR="00B96DA5">
              <w:rPr>
                <w:rFonts w:ascii="Arial" w:eastAsia="Times New Roman" w:hAnsi="Arial" w:cs="Arial"/>
                <w:color w:val="000000"/>
                <w:sz w:val="18"/>
                <w:szCs w:val="18"/>
                <w:lang w:eastAsia="tr-TR"/>
              </w:rPr>
              <w:t xml:space="preserve"> TIP632</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0A66CAA6" w:rsidR="007E6CB5" w:rsidRPr="007E6CB5" w:rsidRDefault="00E563D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r w:rsidR="002B31C9">
              <w:rPr>
                <w:rFonts w:ascii="Arial" w:eastAsia="Times New Roman" w:hAnsi="Arial" w:cs="Arial"/>
                <w:color w:val="000000"/>
                <w:sz w:val="18"/>
                <w:szCs w:val="18"/>
                <w:lang w:eastAsia="tr-TR"/>
              </w:rPr>
              <w:t>0</w:t>
            </w:r>
          </w:p>
        </w:tc>
        <w:tc>
          <w:tcPr>
            <w:tcW w:w="1363" w:type="dxa"/>
            <w:noWrap/>
            <w:vAlign w:val="center"/>
            <w:hideMark/>
          </w:tcPr>
          <w:p w14:paraId="3E9C0346" w14:textId="7EDADCC2" w:rsidR="007E6CB5" w:rsidRPr="007E6CB5" w:rsidRDefault="002B31C9"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246</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6E482A83" w:rsidR="007E6CB5" w:rsidRPr="007E6CB5" w:rsidRDefault="002B31C9"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256</w:t>
            </w:r>
          </w:p>
        </w:tc>
        <w:tc>
          <w:tcPr>
            <w:tcW w:w="790" w:type="dxa"/>
            <w:noWrap/>
            <w:vAlign w:val="center"/>
            <w:hideMark/>
          </w:tcPr>
          <w:p w14:paraId="0B8D73BB" w14:textId="14B65964" w:rsidR="007E6CB5" w:rsidRPr="007E6CB5" w:rsidRDefault="0099045D"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256</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7C6ED2B6" w:rsidR="007E6CB5" w:rsidRPr="00BE2231" w:rsidRDefault="00276705"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Seçmeli</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B31C9">
        <w:trPr>
          <w:trHeight w:val="2500"/>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0658A527" w:rsidR="00FB4ED2" w:rsidRDefault="00835522" w:rsidP="000B74BD">
            <w:pPr>
              <w:ind w:firstLine="708"/>
              <w:jc w:val="both"/>
            </w:pPr>
            <w:r w:rsidRPr="00835522">
              <w:t>Tıp fakültesi eğitim sürecinde edinilen bilgi, beceri ve tutumlar doğrultusunda Göğüs hastalıkları alanıyla ilgili, sık görülen hastalıkları ve sorunları, acil durumları birinci basamak düzeyinde yönetebilme yetkinliğini kazandırmaktır. Bu bağlamda izlem yapma, ön tanı ve/ya tanı koyma, tedavi etme, ilk müdahalede bulunma, yönetmeliğe ve etiğe uygun sevk etme, koruyucu önlemleri uygulama, onkolojik hastalara destek verme, yaşlı hastalara takip ve destek verme becerisi kazandırmaktır</w:t>
            </w:r>
            <w:r w:rsidR="008308D8" w:rsidRPr="008308D8">
              <w:t>.</w:t>
            </w:r>
          </w:p>
          <w:p w14:paraId="23181F93" w14:textId="1EB62F5B" w:rsidR="008A0AE5" w:rsidRPr="00A56D5F" w:rsidRDefault="008A0AE5" w:rsidP="006C0138">
            <w:pPr>
              <w:spacing w:before="240"/>
              <w:ind w:firstLine="708"/>
              <w:jc w:val="both"/>
            </w:pPr>
            <w:r>
              <w:t xml:space="preserve">Bu amaçla haftalık seminerler, viziteler sırasında konu anlatımı, poliklinik ve </w:t>
            </w:r>
            <w:r w:rsidR="00835522">
              <w:t xml:space="preserve">klinik </w:t>
            </w:r>
            <w:r>
              <w:t>hastalarında uzman gözetiminde uygulama yapılacaktır.</w:t>
            </w:r>
          </w:p>
        </w:tc>
      </w:tr>
      <w:tr w:rsidR="007E6CB5" w:rsidRPr="007E6CB5" w14:paraId="0A5ED2DB" w14:textId="77777777" w:rsidTr="00835522">
        <w:trPr>
          <w:trHeight w:val="692"/>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48C580BA" w14:textId="77777777" w:rsidR="00835522" w:rsidRPr="00835522" w:rsidRDefault="00835522" w:rsidP="00835522">
            <w:pPr>
              <w:numPr>
                <w:ilvl w:val="0"/>
                <w:numId w:val="4"/>
              </w:numPr>
              <w:spacing w:before="240"/>
              <w:ind w:left="340" w:hanging="340"/>
              <w:contextualSpacing/>
              <w:jc w:val="both"/>
            </w:pPr>
            <w:r w:rsidRPr="00835522">
              <w:t>Uygun iletişim becerisi edinmek ve etkin kullanmak. Hasta ve hekim haklarını bilmek.</w:t>
            </w:r>
          </w:p>
          <w:p w14:paraId="5BE834D6" w14:textId="77777777" w:rsidR="00835522" w:rsidRPr="00835522" w:rsidRDefault="00835522" w:rsidP="00835522">
            <w:pPr>
              <w:numPr>
                <w:ilvl w:val="0"/>
                <w:numId w:val="4"/>
              </w:numPr>
              <w:spacing w:before="240"/>
              <w:ind w:left="340" w:hanging="340"/>
              <w:contextualSpacing/>
              <w:jc w:val="both"/>
            </w:pPr>
            <w:r w:rsidRPr="00835522">
              <w:t>Hikâye alma ve sistemik sorgulama yapabilmek (Hasta söylemese de hasta sorgulanmalı). Hastanın özgeçmiş ve soy geçmişine erişmek. Bu konuda e-nabız vb. dijital ya da arşivlenmiş belgeleri inceleyebilmek.</w:t>
            </w:r>
          </w:p>
          <w:p w14:paraId="763FEAB4" w14:textId="77777777" w:rsidR="00835522" w:rsidRPr="00835522" w:rsidRDefault="00835522" w:rsidP="00835522">
            <w:pPr>
              <w:numPr>
                <w:ilvl w:val="0"/>
                <w:numId w:val="4"/>
              </w:numPr>
              <w:spacing w:before="240"/>
              <w:ind w:left="340" w:hanging="340"/>
              <w:contextualSpacing/>
              <w:jc w:val="both"/>
            </w:pPr>
            <w:r w:rsidRPr="00835522">
              <w:t xml:space="preserve">Hastayı bütüncül değerlendirip hastanın hem şikâyete yönelik hem sistematik muayenelerini uygulamak. </w:t>
            </w:r>
          </w:p>
          <w:p w14:paraId="0D1BE9FD" w14:textId="77777777" w:rsidR="00835522" w:rsidRPr="00835522" w:rsidRDefault="00835522" w:rsidP="00835522">
            <w:pPr>
              <w:numPr>
                <w:ilvl w:val="0"/>
                <w:numId w:val="4"/>
              </w:numPr>
              <w:spacing w:before="240"/>
              <w:ind w:left="340" w:hanging="340"/>
              <w:contextualSpacing/>
              <w:jc w:val="both"/>
            </w:pPr>
            <w:r w:rsidRPr="00835522">
              <w:t>Hikâye ve fizik muayene ile elde ettiği verilere göre ön tanı(lar) oluşturmak ve tanıya yönelik tanısal testleri istemek.</w:t>
            </w:r>
          </w:p>
          <w:p w14:paraId="02EC4649" w14:textId="77777777" w:rsidR="00835522" w:rsidRPr="00835522" w:rsidRDefault="00835522" w:rsidP="00835522">
            <w:pPr>
              <w:numPr>
                <w:ilvl w:val="0"/>
                <w:numId w:val="4"/>
              </w:numPr>
              <w:spacing w:before="240"/>
              <w:ind w:left="340" w:hanging="340"/>
              <w:contextualSpacing/>
              <w:jc w:val="both"/>
            </w:pPr>
            <w:r w:rsidRPr="00835522">
              <w:t>Solunum sistemi ile ilgili tanısal laboratuvar test (basit spirometri, arter kan gazları, akciğer grafisi, tam kan, biyokimyasal testler) sonuçlarını yorumlar.</w:t>
            </w:r>
          </w:p>
          <w:p w14:paraId="3D511AEA" w14:textId="77777777" w:rsidR="00835522" w:rsidRPr="00835522" w:rsidRDefault="00835522" w:rsidP="00835522">
            <w:pPr>
              <w:numPr>
                <w:ilvl w:val="0"/>
                <w:numId w:val="4"/>
              </w:numPr>
              <w:spacing w:before="240"/>
              <w:ind w:left="340" w:hanging="340"/>
              <w:contextualSpacing/>
              <w:jc w:val="both"/>
            </w:pPr>
            <w:r w:rsidRPr="00835522">
              <w:t>Sık görülen solunum sistemi hastalıklarının tanısını koyar, birinci basamak düzeyinde tedavisi ve izlemini yapar, korunma önlemlerini uygular, tedavi ve izlem planı hakkında hasta ve hasta yakınlarını bilgilendirir ve uygun şekilde sevk eder. Erişkin ve yaşlılarda, hastalıklara yönelik gerekli koruyucu önlemleri almak. Bu önlemleri vatandaşlar, hasta ve yakınları ile paylaşmak.</w:t>
            </w:r>
          </w:p>
          <w:p w14:paraId="6B8245EB" w14:textId="77777777" w:rsidR="00835522" w:rsidRPr="00835522" w:rsidRDefault="00835522" w:rsidP="00835522">
            <w:pPr>
              <w:numPr>
                <w:ilvl w:val="0"/>
                <w:numId w:val="4"/>
              </w:numPr>
              <w:spacing w:before="240"/>
              <w:ind w:left="340" w:hanging="340"/>
              <w:contextualSpacing/>
              <w:jc w:val="both"/>
            </w:pPr>
            <w:r w:rsidRPr="00835522">
              <w:t>Solunum sistemi ile ilgili yaşamı tehdit eden durumları tanır, acil tedavisini yapar ve uygun şekilde sevk eder.</w:t>
            </w:r>
          </w:p>
          <w:p w14:paraId="7FC14114" w14:textId="77777777" w:rsidR="00835522" w:rsidRPr="00835522" w:rsidRDefault="00835522" w:rsidP="00835522">
            <w:pPr>
              <w:numPr>
                <w:ilvl w:val="0"/>
                <w:numId w:val="4"/>
              </w:numPr>
              <w:spacing w:before="240"/>
              <w:ind w:left="340" w:hanging="340"/>
              <w:contextualSpacing/>
              <w:jc w:val="both"/>
            </w:pPr>
            <w:r w:rsidRPr="00835522">
              <w:t>Hastaların tıbbi kayıtlarını yazılı ve elektronik olarak uygun şekilde tutmak ve epikriz düzenlemek.</w:t>
            </w:r>
          </w:p>
          <w:p w14:paraId="33EA8E15" w14:textId="77777777" w:rsidR="00835522" w:rsidRPr="00835522" w:rsidRDefault="00835522" w:rsidP="00835522">
            <w:pPr>
              <w:numPr>
                <w:ilvl w:val="0"/>
                <w:numId w:val="4"/>
              </w:numPr>
              <w:spacing w:before="240"/>
              <w:ind w:left="340" w:hanging="340"/>
              <w:contextualSpacing/>
              <w:jc w:val="both"/>
            </w:pPr>
            <w:r w:rsidRPr="00835522">
              <w:t>Uzman görüşü, daha ileri tanısal analiz gerektiren ve daha kapsamlı tedavi ihtiyacı olan hastaları uygun sevk etmek. Sevk işleminde gerekli belgeleri düzenlemek, hastaya ait verileri uygun epikriz düzenleyerek nakledilecek kuruma sunmak.</w:t>
            </w:r>
          </w:p>
          <w:p w14:paraId="4859922C" w14:textId="77777777" w:rsidR="00835522" w:rsidRPr="00835522" w:rsidRDefault="00835522" w:rsidP="00835522">
            <w:pPr>
              <w:numPr>
                <w:ilvl w:val="0"/>
                <w:numId w:val="4"/>
              </w:numPr>
              <w:spacing w:before="240"/>
              <w:ind w:left="340" w:hanging="340"/>
              <w:contextualSpacing/>
              <w:jc w:val="both"/>
            </w:pPr>
            <w:r w:rsidRPr="00835522">
              <w:t>Temel girişimsel işlemleri (kültür için örnek alma, arter kan örneği alma, kapiller kan örneği almak vb.) uygulamak.</w:t>
            </w:r>
          </w:p>
          <w:p w14:paraId="2F4973F5" w14:textId="77777777" w:rsidR="00835522" w:rsidRPr="00835522" w:rsidRDefault="00835522" w:rsidP="00835522">
            <w:pPr>
              <w:numPr>
                <w:ilvl w:val="0"/>
                <w:numId w:val="4"/>
              </w:numPr>
              <w:spacing w:before="240"/>
              <w:ind w:left="340" w:hanging="340"/>
              <w:contextualSpacing/>
              <w:jc w:val="both"/>
            </w:pPr>
            <w:r w:rsidRPr="00835522">
              <w:t>Hasta, hasta yakınları, meslektaşları ve diğer sağlık personeliyle etkili iletişim kurmak.</w:t>
            </w:r>
          </w:p>
          <w:p w14:paraId="2FF24CE8" w14:textId="77777777" w:rsidR="00835522" w:rsidRPr="00835522" w:rsidRDefault="00835522" w:rsidP="00835522">
            <w:pPr>
              <w:numPr>
                <w:ilvl w:val="0"/>
                <w:numId w:val="4"/>
              </w:numPr>
              <w:spacing w:before="240"/>
              <w:ind w:left="340" w:hanging="340"/>
              <w:contextualSpacing/>
              <w:jc w:val="both"/>
            </w:pPr>
            <w:r w:rsidRPr="00835522">
              <w:t>Meslektaşları ve diğer sağlık personeliyle etkili ekip çalışması yapmak.</w:t>
            </w:r>
          </w:p>
          <w:p w14:paraId="7D7D1E05" w14:textId="77777777" w:rsidR="00835522" w:rsidRPr="00835522" w:rsidRDefault="00835522" w:rsidP="00835522">
            <w:pPr>
              <w:numPr>
                <w:ilvl w:val="0"/>
                <w:numId w:val="4"/>
              </w:numPr>
              <w:spacing w:before="240"/>
              <w:ind w:left="340" w:hanging="340"/>
              <w:contextualSpacing/>
              <w:jc w:val="both"/>
            </w:pPr>
            <w:r w:rsidRPr="00835522">
              <w:t>Hastaların tanısal yaklaşımı, tedavi ve izlem planı, gerektiğinde sevki hakkında hasta ve hasta yakınlarını bilgilendirmek. Uygulanacak işlem ve tedavi yöntemleri hakkında izin almak.</w:t>
            </w:r>
          </w:p>
          <w:p w14:paraId="43F5996E" w14:textId="77777777" w:rsidR="00835522" w:rsidRPr="00835522" w:rsidRDefault="00835522" w:rsidP="00835522">
            <w:pPr>
              <w:numPr>
                <w:ilvl w:val="0"/>
                <w:numId w:val="4"/>
              </w:numPr>
              <w:spacing w:before="240"/>
              <w:ind w:left="340" w:hanging="340"/>
              <w:contextualSpacing/>
              <w:jc w:val="both"/>
            </w:pPr>
            <w:r w:rsidRPr="00835522">
              <w:t>Bronkoskopi, plevra ponksiyonu, uyku laboratuvarı incelemesi, kardiyopulmoner egzersiz testleri, solunum rehabilitasyonu gereken hastaları belirler ve uzmana yönlendirir.</w:t>
            </w:r>
          </w:p>
          <w:p w14:paraId="400BF54A" w14:textId="77777777" w:rsidR="00835522" w:rsidRPr="00835522" w:rsidRDefault="00835522" w:rsidP="00835522">
            <w:pPr>
              <w:numPr>
                <w:ilvl w:val="0"/>
                <w:numId w:val="4"/>
              </w:numPr>
              <w:spacing w:before="240"/>
              <w:ind w:left="340" w:hanging="340"/>
              <w:contextualSpacing/>
              <w:jc w:val="both"/>
            </w:pPr>
            <w:r w:rsidRPr="00835522">
              <w:t>Solunum sistemi hastalıkları için risk faktörlerini bireysel bazda değerlendirir ve uygun danışmanlık sağlar.</w:t>
            </w:r>
          </w:p>
          <w:p w14:paraId="25CDFA0A" w14:textId="77777777" w:rsidR="00835522" w:rsidRPr="00835522" w:rsidRDefault="00835522" w:rsidP="00835522">
            <w:pPr>
              <w:numPr>
                <w:ilvl w:val="0"/>
                <w:numId w:val="4"/>
              </w:numPr>
              <w:spacing w:before="240"/>
              <w:ind w:left="340" w:hanging="340"/>
              <w:contextualSpacing/>
              <w:jc w:val="both"/>
            </w:pPr>
            <w:r w:rsidRPr="00835522">
              <w:t>Toplumda solunum sistemi hastalıklarının sıklığının azaltılmasına yönelik önlemleri uygular</w:t>
            </w:r>
          </w:p>
          <w:p w14:paraId="69FE2985" w14:textId="77777777" w:rsidR="00835522" w:rsidRPr="00835522" w:rsidRDefault="00835522" w:rsidP="00835522">
            <w:pPr>
              <w:numPr>
                <w:ilvl w:val="0"/>
                <w:numId w:val="4"/>
              </w:numPr>
              <w:spacing w:before="240"/>
              <w:ind w:left="340" w:hanging="340"/>
              <w:contextualSpacing/>
              <w:jc w:val="both"/>
            </w:pPr>
            <w:r w:rsidRPr="00835522">
              <w:t>Bireysel ve mesleki yeterliliklerini değerlendirmek ve sürekli öğrenme yoluyla mesleksel performansını geliştirmek.</w:t>
            </w:r>
          </w:p>
          <w:p w14:paraId="4C44E700" w14:textId="207FD28D" w:rsidR="007E6CB5" w:rsidRPr="00BD546F" w:rsidRDefault="00835522" w:rsidP="00835522">
            <w:pPr>
              <w:numPr>
                <w:ilvl w:val="0"/>
                <w:numId w:val="4"/>
              </w:numPr>
              <w:spacing w:before="240"/>
              <w:ind w:left="340" w:hanging="340"/>
              <w:contextualSpacing/>
              <w:jc w:val="both"/>
            </w:pPr>
            <w:r w:rsidRPr="00835522">
              <w:lastRenderedPageBreak/>
              <w:t>Tanımlanan amaç doğrultusunda literatür taraması yapmak, ulaştığı bilgiyi değerlendirmek, organize ederek sunmak.</w:t>
            </w:r>
          </w:p>
        </w:tc>
      </w:tr>
      <w:tr w:rsidR="007E6CB5" w:rsidRPr="007E6CB5" w14:paraId="5CCBCAA5" w14:textId="77777777" w:rsidTr="00EB562E">
        <w:trPr>
          <w:trHeight w:val="1127"/>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7" w:type="dxa"/>
            <w:gridSpan w:val="9"/>
            <w:vAlign w:val="center"/>
            <w:hideMark/>
          </w:tcPr>
          <w:p w14:paraId="79877621" w14:textId="51397F27" w:rsidR="007E6CB5" w:rsidRPr="008308D8" w:rsidRDefault="00EB562E" w:rsidP="00EB562E">
            <w:pPr>
              <w:numPr>
                <w:ilvl w:val="0"/>
                <w:numId w:val="3"/>
              </w:numPr>
              <w:ind w:left="340" w:hanging="340"/>
            </w:pPr>
            <w:r w:rsidRPr="00EB562E">
              <w:t>Türk Toraks Derneği Öğrenci Kitabı (https://www.toraks.org.tr/site/community/library/yB523ZYi83V_Hv2s)</w:t>
            </w:r>
          </w:p>
        </w:tc>
      </w:tr>
      <w:tr w:rsidR="007E6CB5" w:rsidRPr="007E6CB5" w14:paraId="15F42446" w14:textId="77777777" w:rsidTr="000B74BD">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ne katılım oranı 100 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32EB0C9A" w14:textId="6A363735" w:rsidR="00A56D5F" w:rsidRPr="00A56D5F" w:rsidRDefault="00A56D5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sidRPr="00A56D5F">
              <w:rPr>
                <w:rFonts w:ascii="Arial" w:eastAsia="Times New Roman" w:hAnsi="Arial" w:cs="Arial"/>
                <w:b w:val="0"/>
                <w:color w:val="000000"/>
                <w:sz w:val="20"/>
                <w:szCs w:val="20"/>
                <w:lang w:eastAsia="tr-TR"/>
              </w:rPr>
              <w:t>İntern doktor, hekimlik etiğine uygun tutum ve davranış</w:t>
            </w:r>
            <w:r w:rsidR="00BD546F">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sidR="00BD546F">
              <w:rPr>
                <w:rFonts w:ascii="Arial" w:eastAsia="Times New Roman" w:hAnsi="Arial" w:cs="Arial"/>
                <w:b w:val="0"/>
                <w:color w:val="000000"/>
                <w:sz w:val="20"/>
                <w:szCs w:val="20"/>
                <w:lang w:eastAsia="tr-TR"/>
              </w:rPr>
              <w:t xml:space="preserve">1) </w:t>
            </w:r>
            <w:r w:rsidRPr="00A56D5F">
              <w:rPr>
                <w:rFonts w:ascii="Arial" w:eastAsia="Times New Roman" w:hAnsi="Arial" w:cs="Arial"/>
                <w:b w:val="0"/>
                <w:color w:val="000000"/>
                <w:sz w:val="20"/>
                <w:szCs w:val="20"/>
                <w:lang w:eastAsia="tr-TR"/>
              </w:rPr>
              <w:t xml:space="preserve">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w:t>
            </w:r>
            <w:r w:rsidR="006C0138">
              <w:rPr>
                <w:rFonts w:ascii="Arial" w:eastAsia="Times New Roman" w:hAnsi="Arial" w:cs="Arial"/>
                <w:b w:val="0"/>
                <w:color w:val="000000"/>
                <w:sz w:val="20"/>
                <w:szCs w:val="20"/>
                <w:lang w:eastAsia="tr-TR"/>
              </w:rPr>
              <w:t>puan üzerinden değerlendiri</w:t>
            </w:r>
            <w:r w:rsidR="005A18C0">
              <w:rPr>
                <w:rFonts w:ascii="Arial" w:eastAsia="Times New Roman" w:hAnsi="Arial" w:cs="Arial"/>
                <w:b w:val="0"/>
                <w:color w:val="000000"/>
                <w:sz w:val="20"/>
                <w:szCs w:val="20"/>
                <w:lang w:eastAsia="tr-TR"/>
              </w:rPr>
              <w:t>lecektir</w:t>
            </w:r>
            <w:r w:rsidRPr="00A56D5F">
              <w:rPr>
                <w:rFonts w:ascii="Arial" w:eastAsia="Times New Roman" w:hAnsi="Arial" w:cs="Arial"/>
                <w:b w:val="0"/>
                <w:color w:val="000000"/>
                <w:sz w:val="20"/>
                <w:szCs w:val="20"/>
                <w:lang w:eastAsia="tr-TR"/>
              </w:rPr>
              <w:t>.</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0B74BD">
        <w:trPr>
          <w:trHeight w:val="5621"/>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0B86356E" w:rsidR="004C5C78" w:rsidRPr="00C60610" w:rsidRDefault="00835522" w:rsidP="008E5B5A">
            <w:pPr>
              <w:rPr>
                <w:rFonts w:ascii="Arial" w:eastAsia="Times New Roman" w:hAnsi="Arial" w:cs="Arial"/>
                <w:bCs/>
                <w:color w:val="000000"/>
                <w:sz w:val="20"/>
                <w:szCs w:val="20"/>
                <w:lang w:eastAsia="tr-TR"/>
              </w:rPr>
            </w:pPr>
            <w:r w:rsidRPr="00835522">
              <w:rPr>
                <w:rFonts w:ascii="Arial" w:eastAsia="Times New Roman" w:hAnsi="Arial" w:cs="Arial"/>
                <w:bCs/>
                <w:color w:val="000000"/>
                <w:sz w:val="20"/>
                <w:szCs w:val="20"/>
                <w:lang w:eastAsia="tr-TR"/>
              </w:rPr>
              <w:t>Doçent Doktor Murat ACAT</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217BD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hideMark/>
          </w:tcPr>
          <w:p w14:paraId="1DEC10BE" w14:textId="42B9B07C" w:rsidR="007E6CB5" w:rsidRPr="007E6CB5" w:rsidRDefault="00037720"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992" w:type="dxa"/>
            <w:noWrap/>
            <w:vAlign w:val="center"/>
            <w:hideMark/>
          </w:tcPr>
          <w:p w14:paraId="044B06FE" w14:textId="4A5940FC" w:rsidR="007E6CB5" w:rsidRPr="007E6CB5" w:rsidRDefault="00F802A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w:t>
            </w:r>
          </w:p>
        </w:tc>
        <w:tc>
          <w:tcPr>
            <w:tcW w:w="1672" w:type="dxa"/>
            <w:gridSpan w:val="2"/>
            <w:noWrap/>
            <w:vAlign w:val="center"/>
            <w:hideMark/>
          </w:tcPr>
          <w:p w14:paraId="4D57FA11" w14:textId="26E15F4D" w:rsidR="007E6CB5" w:rsidRPr="007E6CB5" w:rsidRDefault="00F802A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96</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0F7F2C8A" w:rsidR="007E6CB5" w:rsidRPr="00E937DF" w:rsidRDefault="00F802A7"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256</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7C086865" w:rsidR="007E6CB5" w:rsidRPr="00E937DF" w:rsidRDefault="00391BF3"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8,2</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17CF5646" w14:textId="77777777" w:rsidTr="00FC79C2">
        <w:trPr>
          <w:trHeight w:val="567"/>
          <w:jc w:val="center"/>
        </w:trPr>
        <w:tc>
          <w:tcPr>
            <w:tcW w:w="1339" w:type="dxa"/>
            <w:noWrap/>
            <w:vAlign w:val="center"/>
          </w:tcPr>
          <w:p w14:paraId="65D9E94C" w14:textId="082D726E"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3</w:t>
            </w:r>
          </w:p>
        </w:tc>
        <w:tc>
          <w:tcPr>
            <w:tcW w:w="8235" w:type="dxa"/>
            <w:gridSpan w:val="8"/>
            <w:noWrap/>
            <w:vAlign w:val="center"/>
          </w:tcPr>
          <w:p w14:paraId="73D7FB19" w14:textId="528BA5E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tutum ve davranışları sergileme</w:t>
            </w:r>
          </w:p>
        </w:tc>
        <w:tc>
          <w:tcPr>
            <w:tcW w:w="882" w:type="dxa"/>
            <w:noWrap/>
            <w:vAlign w:val="center"/>
          </w:tcPr>
          <w:p w14:paraId="3FC8DCE7" w14:textId="526759E4"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3190"/>
        <w:gridCol w:w="2820"/>
      </w:tblGrid>
      <w:tr w:rsidR="00B35E6F" w:rsidRPr="00BA7902" w14:paraId="2D246826" w14:textId="77777777" w:rsidTr="00543C28">
        <w:trPr>
          <w:trHeight w:val="397"/>
        </w:trPr>
        <w:tc>
          <w:tcPr>
            <w:tcW w:w="2272" w:type="pct"/>
            <w:vAlign w:val="center"/>
          </w:tcPr>
          <w:p w14:paraId="40AA1D15" w14:textId="77777777" w:rsidR="00B35E6F" w:rsidRPr="00BA7902" w:rsidRDefault="00B35E6F" w:rsidP="00F2104E">
            <w:pPr>
              <w:spacing w:after="0" w:line="240" w:lineRule="auto"/>
              <w:rPr>
                <w:b/>
                <w:bCs/>
              </w:rPr>
            </w:pPr>
            <w:r w:rsidRPr="00BA7902">
              <w:rPr>
                <w:b/>
                <w:bCs/>
              </w:rPr>
              <w:t>Eğitim Etkinliğinin Adı</w:t>
            </w:r>
          </w:p>
        </w:tc>
        <w:tc>
          <w:tcPr>
            <w:tcW w:w="1448" w:type="pct"/>
            <w:vAlign w:val="center"/>
          </w:tcPr>
          <w:p w14:paraId="592A9415" w14:textId="77777777" w:rsidR="00B35E6F" w:rsidRPr="00BA7902" w:rsidRDefault="00B35E6F" w:rsidP="00F2104E">
            <w:pPr>
              <w:spacing w:after="0" w:line="240" w:lineRule="auto"/>
              <w:jc w:val="center"/>
              <w:rPr>
                <w:b/>
                <w:bCs/>
              </w:rPr>
            </w:pPr>
            <w:r w:rsidRPr="00BA7902">
              <w:rPr>
                <w:b/>
                <w:bCs/>
              </w:rPr>
              <w:t>Öğrenme Yöntemi</w:t>
            </w:r>
          </w:p>
        </w:tc>
        <w:tc>
          <w:tcPr>
            <w:tcW w:w="1280" w:type="pct"/>
            <w:vAlign w:val="center"/>
          </w:tcPr>
          <w:p w14:paraId="517FC138" w14:textId="77777777" w:rsidR="00B35E6F" w:rsidRPr="00BA7902" w:rsidRDefault="00B35E6F" w:rsidP="00F2104E">
            <w:pPr>
              <w:spacing w:after="0" w:line="240" w:lineRule="auto"/>
              <w:jc w:val="center"/>
              <w:rPr>
                <w:b/>
                <w:bCs/>
              </w:rPr>
            </w:pPr>
            <w:r w:rsidRPr="00BA7902">
              <w:rPr>
                <w:b/>
                <w:bCs/>
              </w:rPr>
              <w:t>Uzman Onayı</w:t>
            </w:r>
          </w:p>
        </w:tc>
      </w:tr>
      <w:tr w:rsidR="00EB562E" w:rsidRPr="00BA7902" w14:paraId="7BC433E7" w14:textId="77777777" w:rsidTr="00EB562E">
        <w:trPr>
          <w:trHeight w:val="567"/>
        </w:trPr>
        <w:tc>
          <w:tcPr>
            <w:tcW w:w="2272" w:type="pct"/>
            <w:vAlign w:val="center"/>
          </w:tcPr>
          <w:p w14:paraId="68BC355F" w14:textId="31748576" w:rsidR="00EB562E" w:rsidRPr="00BA7902" w:rsidRDefault="00EB562E" w:rsidP="00EB562E">
            <w:pPr>
              <w:spacing w:after="0" w:line="240" w:lineRule="auto"/>
            </w:pPr>
            <w:r w:rsidRPr="001D1617">
              <w:t>Dispneli hastaya yaklaşım</w:t>
            </w:r>
          </w:p>
        </w:tc>
        <w:tc>
          <w:tcPr>
            <w:tcW w:w="1448" w:type="pct"/>
            <w:vAlign w:val="center"/>
          </w:tcPr>
          <w:p w14:paraId="175866DD" w14:textId="0F28F3F4" w:rsidR="00EB562E" w:rsidRPr="00BA7902" w:rsidRDefault="00EB562E" w:rsidP="00EB562E">
            <w:pPr>
              <w:spacing w:after="0" w:line="240" w:lineRule="auto"/>
              <w:jc w:val="center"/>
            </w:pPr>
            <w:r w:rsidRPr="001D1617">
              <w:t>Hasta başı eğitim, İnteraktif tartışma</w:t>
            </w:r>
          </w:p>
        </w:tc>
        <w:tc>
          <w:tcPr>
            <w:tcW w:w="1280" w:type="pct"/>
            <w:vAlign w:val="center"/>
          </w:tcPr>
          <w:p w14:paraId="356EEE99" w14:textId="77777777" w:rsidR="00EB562E" w:rsidRPr="00BA7902" w:rsidRDefault="00EB562E" w:rsidP="00EB562E">
            <w:pPr>
              <w:spacing w:after="0" w:line="240" w:lineRule="auto"/>
              <w:jc w:val="center"/>
            </w:pPr>
          </w:p>
        </w:tc>
      </w:tr>
      <w:tr w:rsidR="00EB562E" w:rsidRPr="00BA7902" w14:paraId="483C79E6" w14:textId="77777777" w:rsidTr="00EB562E">
        <w:trPr>
          <w:trHeight w:val="567"/>
        </w:trPr>
        <w:tc>
          <w:tcPr>
            <w:tcW w:w="2272" w:type="pct"/>
            <w:vAlign w:val="center"/>
          </w:tcPr>
          <w:p w14:paraId="31081A55" w14:textId="3123837A" w:rsidR="00EB562E" w:rsidRPr="00BA7902" w:rsidRDefault="00EB562E" w:rsidP="00EB562E">
            <w:pPr>
              <w:spacing w:after="0" w:line="240" w:lineRule="auto"/>
            </w:pPr>
            <w:r w:rsidRPr="001D1617">
              <w:t>Öksürüğü olan hastaya yaklaşım</w:t>
            </w:r>
          </w:p>
        </w:tc>
        <w:tc>
          <w:tcPr>
            <w:tcW w:w="1448" w:type="pct"/>
            <w:vAlign w:val="center"/>
          </w:tcPr>
          <w:p w14:paraId="1EE6FAA2" w14:textId="258A2BD2" w:rsidR="00EB562E" w:rsidRPr="00BA7902" w:rsidRDefault="00EB562E" w:rsidP="00EB562E">
            <w:pPr>
              <w:spacing w:after="0" w:line="240" w:lineRule="auto"/>
              <w:jc w:val="center"/>
            </w:pPr>
            <w:r>
              <w:t>“</w:t>
            </w:r>
          </w:p>
        </w:tc>
        <w:tc>
          <w:tcPr>
            <w:tcW w:w="1280" w:type="pct"/>
          </w:tcPr>
          <w:p w14:paraId="1E29E4D5" w14:textId="77777777" w:rsidR="00EB562E" w:rsidRPr="00BA7902" w:rsidRDefault="00EB562E" w:rsidP="00EB562E">
            <w:pPr>
              <w:spacing w:after="0" w:line="240" w:lineRule="auto"/>
            </w:pPr>
          </w:p>
        </w:tc>
      </w:tr>
      <w:tr w:rsidR="00EB562E" w:rsidRPr="00BA7902" w14:paraId="2BD3452E" w14:textId="77777777" w:rsidTr="00EB562E">
        <w:trPr>
          <w:trHeight w:val="567"/>
        </w:trPr>
        <w:tc>
          <w:tcPr>
            <w:tcW w:w="2272" w:type="pct"/>
            <w:vAlign w:val="center"/>
          </w:tcPr>
          <w:p w14:paraId="531D4113" w14:textId="51E06E81" w:rsidR="00EB562E" w:rsidRPr="00BA7902" w:rsidRDefault="00EB562E" w:rsidP="00EB562E">
            <w:pPr>
              <w:spacing w:after="0" w:line="240" w:lineRule="auto"/>
            </w:pPr>
            <w:r w:rsidRPr="001D1617">
              <w:t>Hemoptizili hastaya yaklaşım</w:t>
            </w:r>
          </w:p>
        </w:tc>
        <w:tc>
          <w:tcPr>
            <w:tcW w:w="1448" w:type="pct"/>
            <w:vAlign w:val="center"/>
          </w:tcPr>
          <w:p w14:paraId="24564B8C" w14:textId="79D5A77A" w:rsidR="00EB562E" w:rsidRPr="00BA7902" w:rsidRDefault="00EB562E" w:rsidP="00EB562E">
            <w:pPr>
              <w:spacing w:after="0" w:line="240" w:lineRule="auto"/>
              <w:jc w:val="center"/>
            </w:pPr>
            <w:r>
              <w:t>“</w:t>
            </w:r>
          </w:p>
        </w:tc>
        <w:tc>
          <w:tcPr>
            <w:tcW w:w="1280" w:type="pct"/>
          </w:tcPr>
          <w:p w14:paraId="1D9D04F1" w14:textId="77777777" w:rsidR="00EB562E" w:rsidRPr="00BA7902" w:rsidRDefault="00EB562E" w:rsidP="00EB562E">
            <w:pPr>
              <w:spacing w:after="0" w:line="240" w:lineRule="auto"/>
            </w:pPr>
          </w:p>
        </w:tc>
      </w:tr>
      <w:tr w:rsidR="00EB562E" w:rsidRPr="00BA7902" w14:paraId="42372927" w14:textId="77777777" w:rsidTr="00EB562E">
        <w:trPr>
          <w:trHeight w:val="567"/>
        </w:trPr>
        <w:tc>
          <w:tcPr>
            <w:tcW w:w="2272" w:type="pct"/>
            <w:vAlign w:val="center"/>
          </w:tcPr>
          <w:p w14:paraId="6311AEF4" w14:textId="7DA56E6B" w:rsidR="00EB562E" w:rsidRPr="00BA7902" w:rsidRDefault="00EB562E" w:rsidP="00EB562E">
            <w:pPr>
              <w:spacing w:after="0" w:line="240" w:lineRule="auto"/>
            </w:pPr>
            <w:r w:rsidRPr="001D1617">
              <w:t>Siyanozlu hastaya yaklaşım</w:t>
            </w:r>
          </w:p>
        </w:tc>
        <w:tc>
          <w:tcPr>
            <w:tcW w:w="1448" w:type="pct"/>
            <w:vAlign w:val="center"/>
          </w:tcPr>
          <w:p w14:paraId="3871BE27" w14:textId="5F365A36" w:rsidR="00EB562E" w:rsidRPr="00BA7902" w:rsidRDefault="00EB562E" w:rsidP="00EB562E">
            <w:pPr>
              <w:spacing w:after="0" w:line="240" w:lineRule="auto"/>
              <w:jc w:val="center"/>
            </w:pPr>
            <w:r>
              <w:t>“</w:t>
            </w:r>
          </w:p>
        </w:tc>
        <w:tc>
          <w:tcPr>
            <w:tcW w:w="1280" w:type="pct"/>
          </w:tcPr>
          <w:p w14:paraId="7E98AD24" w14:textId="77777777" w:rsidR="00EB562E" w:rsidRPr="00BA7902" w:rsidRDefault="00EB562E" w:rsidP="00EB562E">
            <w:pPr>
              <w:spacing w:after="0" w:line="240" w:lineRule="auto"/>
            </w:pPr>
          </w:p>
        </w:tc>
      </w:tr>
      <w:tr w:rsidR="00EB562E" w:rsidRPr="00BA7902" w14:paraId="4C9C31A1" w14:textId="77777777" w:rsidTr="00EB562E">
        <w:trPr>
          <w:trHeight w:val="567"/>
        </w:trPr>
        <w:tc>
          <w:tcPr>
            <w:tcW w:w="2272" w:type="pct"/>
            <w:vAlign w:val="center"/>
          </w:tcPr>
          <w:p w14:paraId="5932865F" w14:textId="7C4F5992" w:rsidR="00EB562E" w:rsidRPr="00BA7902" w:rsidRDefault="00EB562E" w:rsidP="00EB562E">
            <w:pPr>
              <w:spacing w:after="0" w:line="240" w:lineRule="auto"/>
            </w:pPr>
            <w:r w:rsidRPr="001D1617">
              <w:t>Göğüs ağrılı hastaya yaklaşım</w:t>
            </w:r>
          </w:p>
        </w:tc>
        <w:tc>
          <w:tcPr>
            <w:tcW w:w="1448" w:type="pct"/>
            <w:vAlign w:val="center"/>
          </w:tcPr>
          <w:p w14:paraId="0259D61D" w14:textId="532C9F68" w:rsidR="00EB562E" w:rsidRPr="00BA7902" w:rsidRDefault="00EB562E" w:rsidP="00EB562E">
            <w:pPr>
              <w:spacing w:after="0" w:line="240" w:lineRule="auto"/>
              <w:jc w:val="center"/>
            </w:pPr>
            <w:r>
              <w:t>“</w:t>
            </w:r>
          </w:p>
        </w:tc>
        <w:tc>
          <w:tcPr>
            <w:tcW w:w="1280" w:type="pct"/>
          </w:tcPr>
          <w:p w14:paraId="4B77C3B7" w14:textId="77777777" w:rsidR="00EB562E" w:rsidRPr="00BA7902" w:rsidRDefault="00EB562E" w:rsidP="00EB562E">
            <w:pPr>
              <w:spacing w:after="0" w:line="240" w:lineRule="auto"/>
            </w:pPr>
          </w:p>
        </w:tc>
      </w:tr>
    </w:tbl>
    <w:p w14:paraId="5E599A66" w14:textId="54B8A8ED"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
        <w:tblW w:w="5000" w:type="pct"/>
        <w:tblLook w:val="04A0" w:firstRow="1" w:lastRow="0" w:firstColumn="1" w:lastColumn="0" w:noHBand="0" w:noVBand="1"/>
      </w:tblPr>
      <w:tblGrid>
        <w:gridCol w:w="773"/>
        <w:gridCol w:w="9009"/>
        <w:gridCol w:w="1234"/>
      </w:tblGrid>
      <w:tr w:rsidR="00EB562E" w:rsidRPr="00BA7902" w14:paraId="66790CE0" w14:textId="77777777" w:rsidTr="00EB562E">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081569BD" w14:textId="77777777" w:rsidR="00EB562E" w:rsidRPr="00BA7902" w:rsidRDefault="00EB562E" w:rsidP="00F2104E">
            <w:r w:rsidRPr="00BA7902">
              <w:t>Sıra</w:t>
            </w:r>
          </w:p>
        </w:tc>
        <w:tc>
          <w:tcPr>
            <w:tcW w:w="4089" w:type="pct"/>
            <w:vAlign w:val="bottom"/>
          </w:tcPr>
          <w:p w14:paraId="38861BB4" w14:textId="77777777" w:rsidR="00EB562E" w:rsidRPr="00BA7902" w:rsidRDefault="00EB562E" w:rsidP="00F2104E">
            <w:pPr>
              <w:cnfStyle w:val="100000000000" w:firstRow="1" w:lastRow="0" w:firstColumn="0" w:lastColumn="0" w:oddVBand="0" w:evenVBand="0" w:oddHBand="0" w:evenHBand="0" w:firstRowFirstColumn="0" w:firstRowLastColumn="0" w:lastRowFirstColumn="0" w:lastRowLastColumn="0"/>
            </w:pPr>
            <w:r w:rsidRPr="00BA7902">
              <w:t>Hekimlik Uygulaması</w:t>
            </w:r>
          </w:p>
        </w:tc>
        <w:tc>
          <w:tcPr>
            <w:tcW w:w="560" w:type="pct"/>
          </w:tcPr>
          <w:p w14:paraId="0BE18A08" w14:textId="77777777" w:rsidR="00EB562E" w:rsidRPr="00BA7902" w:rsidRDefault="00EB562E" w:rsidP="00F2104E">
            <w:pPr>
              <w:jc w:val="center"/>
              <w:cnfStyle w:val="100000000000" w:firstRow="1" w:lastRow="0" w:firstColumn="0" w:lastColumn="0" w:oddVBand="0" w:evenVBand="0" w:oddHBand="0" w:evenHBand="0" w:firstRowFirstColumn="0" w:firstRowLastColumn="0" w:lastRowFirstColumn="0" w:lastRowLastColumn="0"/>
            </w:pPr>
            <w:r w:rsidRPr="00BA7902">
              <w:t>Asgari Sayı</w:t>
            </w:r>
          </w:p>
        </w:tc>
      </w:tr>
      <w:tr w:rsidR="00EB562E" w:rsidRPr="00BA7902" w14:paraId="76760ED8" w14:textId="77777777" w:rsidTr="00EB56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CEFE183" w14:textId="77777777" w:rsidR="00EB562E" w:rsidRPr="00BA7902" w:rsidRDefault="00EB562E" w:rsidP="00F2104E">
            <w:r w:rsidRPr="00BA7902">
              <w:t>1</w:t>
            </w:r>
          </w:p>
        </w:tc>
        <w:tc>
          <w:tcPr>
            <w:tcW w:w="4089" w:type="pct"/>
            <w:vAlign w:val="center"/>
          </w:tcPr>
          <w:p w14:paraId="29AB4D43" w14:textId="77777777" w:rsidR="00EB562E" w:rsidRPr="00BA7902" w:rsidRDefault="00EB562E" w:rsidP="00F2104E">
            <w:pPr>
              <w:cnfStyle w:val="000000100000" w:firstRow="0" w:lastRow="0" w:firstColumn="0" w:lastColumn="0" w:oddVBand="0" w:evenVBand="0" w:oddHBand="1" w:evenHBand="0" w:firstRowFirstColumn="0" w:firstRowLastColumn="0" w:lastRowFirstColumn="0" w:lastRowLastColumn="0"/>
            </w:pPr>
            <w:r w:rsidRPr="008431F6">
              <w:t>Genel ve solunum sistemine yönelik öykü alabilme</w:t>
            </w:r>
          </w:p>
        </w:tc>
        <w:tc>
          <w:tcPr>
            <w:tcW w:w="560" w:type="pct"/>
            <w:vAlign w:val="center"/>
          </w:tcPr>
          <w:p w14:paraId="2BBFC1AF" w14:textId="77777777" w:rsidR="00EB562E" w:rsidRPr="00BA7902" w:rsidRDefault="00EB562E" w:rsidP="00F2104E">
            <w:pPr>
              <w:jc w:val="center"/>
              <w:cnfStyle w:val="000000100000" w:firstRow="0" w:lastRow="0" w:firstColumn="0" w:lastColumn="0" w:oddVBand="0" w:evenVBand="0" w:oddHBand="1" w:evenHBand="0" w:firstRowFirstColumn="0" w:firstRowLastColumn="0" w:lastRowFirstColumn="0" w:lastRowLastColumn="0"/>
            </w:pPr>
            <w:r w:rsidRPr="008431F6">
              <w:t>5</w:t>
            </w:r>
          </w:p>
        </w:tc>
      </w:tr>
      <w:tr w:rsidR="00EB562E" w:rsidRPr="00BA7902" w14:paraId="59A069B5" w14:textId="77777777" w:rsidTr="00EB562E">
        <w:trPr>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A245E1F" w14:textId="77777777" w:rsidR="00EB562E" w:rsidRPr="00BA7902" w:rsidRDefault="00EB562E" w:rsidP="00F2104E">
            <w:r w:rsidRPr="00BA7902">
              <w:t>2</w:t>
            </w:r>
          </w:p>
        </w:tc>
        <w:tc>
          <w:tcPr>
            <w:tcW w:w="4089" w:type="pct"/>
            <w:vAlign w:val="center"/>
          </w:tcPr>
          <w:p w14:paraId="503B833C" w14:textId="77777777" w:rsidR="00EB562E" w:rsidRPr="00BA7902" w:rsidRDefault="00EB562E" w:rsidP="00F2104E">
            <w:pPr>
              <w:cnfStyle w:val="000000000000" w:firstRow="0" w:lastRow="0" w:firstColumn="0" w:lastColumn="0" w:oddVBand="0" w:evenVBand="0" w:oddHBand="0" w:evenHBand="0" w:firstRowFirstColumn="0" w:firstRowLastColumn="0" w:lastRowFirstColumn="0" w:lastRowLastColumn="0"/>
            </w:pPr>
            <w:r w:rsidRPr="008431F6">
              <w:t>Genel durum ve vital bulguların değerlendirilmesi</w:t>
            </w:r>
          </w:p>
        </w:tc>
        <w:tc>
          <w:tcPr>
            <w:tcW w:w="560" w:type="pct"/>
            <w:vAlign w:val="center"/>
          </w:tcPr>
          <w:p w14:paraId="16266293" w14:textId="77777777" w:rsidR="00EB562E" w:rsidRPr="00BA7902" w:rsidRDefault="00EB562E" w:rsidP="00F2104E">
            <w:pPr>
              <w:jc w:val="center"/>
              <w:cnfStyle w:val="000000000000" w:firstRow="0" w:lastRow="0" w:firstColumn="0" w:lastColumn="0" w:oddVBand="0" w:evenVBand="0" w:oddHBand="0" w:evenHBand="0" w:firstRowFirstColumn="0" w:firstRowLastColumn="0" w:lastRowFirstColumn="0" w:lastRowLastColumn="0"/>
            </w:pPr>
            <w:r w:rsidRPr="008431F6">
              <w:t>5</w:t>
            </w:r>
          </w:p>
        </w:tc>
      </w:tr>
      <w:tr w:rsidR="00EB562E" w:rsidRPr="00BA7902" w14:paraId="25ACE1D8" w14:textId="77777777" w:rsidTr="00EB5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A042974" w14:textId="77777777" w:rsidR="00EB562E" w:rsidRPr="00BA7902" w:rsidRDefault="00EB562E" w:rsidP="00F2104E">
            <w:r>
              <w:t>3</w:t>
            </w:r>
          </w:p>
        </w:tc>
        <w:tc>
          <w:tcPr>
            <w:tcW w:w="4089" w:type="pct"/>
            <w:vAlign w:val="center"/>
          </w:tcPr>
          <w:p w14:paraId="0CB74C24" w14:textId="77777777" w:rsidR="00EB562E" w:rsidRPr="00BA7902" w:rsidRDefault="00EB562E" w:rsidP="00F2104E">
            <w:pPr>
              <w:cnfStyle w:val="000000100000" w:firstRow="0" w:lastRow="0" w:firstColumn="0" w:lastColumn="0" w:oddVBand="0" w:evenVBand="0" w:oddHBand="1" w:evenHBand="0" w:firstRowFirstColumn="0" w:firstRowLastColumn="0" w:lastRowFirstColumn="0" w:lastRowLastColumn="0"/>
            </w:pPr>
            <w:r w:rsidRPr="008431F6">
              <w:t>Solunum sistemi muayenesi</w:t>
            </w:r>
          </w:p>
        </w:tc>
        <w:tc>
          <w:tcPr>
            <w:tcW w:w="560" w:type="pct"/>
            <w:vAlign w:val="center"/>
          </w:tcPr>
          <w:p w14:paraId="6EF0C470" w14:textId="77777777" w:rsidR="00EB562E" w:rsidRPr="00BA7902" w:rsidRDefault="00EB562E" w:rsidP="00F2104E">
            <w:pPr>
              <w:jc w:val="center"/>
              <w:cnfStyle w:val="000000100000" w:firstRow="0" w:lastRow="0" w:firstColumn="0" w:lastColumn="0" w:oddVBand="0" w:evenVBand="0" w:oddHBand="1" w:evenHBand="0" w:firstRowFirstColumn="0" w:firstRowLastColumn="0" w:lastRowFirstColumn="0" w:lastRowLastColumn="0"/>
            </w:pPr>
            <w:r w:rsidRPr="008431F6">
              <w:t>6</w:t>
            </w:r>
          </w:p>
        </w:tc>
      </w:tr>
      <w:tr w:rsidR="00EB562E" w:rsidRPr="00BA7902" w14:paraId="189D2CC8" w14:textId="77777777" w:rsidTr="00EB562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460D755" w14:textId="77777777" w:rsidR="00EB562E" w:rsidRPr="00BA7902" w:rsidRDefault="00EB562E" w:rsidP="00F2104E">
            <w:r>
              <w:t>4</w:t>
            </w:r>
          </w:p>
        </w:tc>
        <w:tc>
          <w:tcPr>
            <w:tcW w:w="4089" w:type="pct"/>
            <w:vAlign w:val="center"/>
          </w:tcPr>
          <w:p w14:paraId="4231DD1A" w14:textId="77777777" w:rsidR="00EB562E" w:rsidRPr="00BA7902" w:rsidRDefault="00EB562E" w:rsidP="00F2104E">
            <w:pPr>
              <w:cnfStyle w:val="000000000000" w:firstRow="0" w:lastRow="0" w:firstColumn="0" w:lastColumn="0" w:oddVBand="0" w:evenVBand="0" w:oddHBand="0" w:evenHBand="0" w:firstRowFirstColumn="0" w:firstRowLastColumn="0" w:lastRowFirstColumn="0" w:lastRowLastColumn="0"/>
            </w:pPr>
            <w:r w:rsidRPr="008431F6">
              <w:t>Epikriz hazırlayabilme</w:t>
            </w:r>
          </w:p>
        </w:tc>
        <w:tc>
          <w:tcPr>
            <w:tcW w:w="560" w:type="pct"/>
            <w:vAlign w:val="center"/>
          </w:tcPr>
          <w:p w14:paraId="0DFC06CA" w14:textId="77777777" w:rsidR="00EB562E" w:rsidRPr="00BA7902" w:rsidRDefault="00EB562E" w:rsidP="00F2104E">
            <w:pPr>
              <w:jc w:val="center"/>
              <w:cnfStyle w:val="000000000000" w:firstRow="0" w:lastRow="0" w:firstColumn="0" w:lastColumn="0" w:oddVBand="0" w:evenVBand="0" w:oddHBand="0" w:evenHBand="0" w:firstRowFirstColumn="0" w:firstRowLastColumn="0" w:lastRowFirstColumn="0" w:lastRowLastColumn="0"/>
            </w:pPr>
            <w:r w:rsidRPr="008431F6">
              <w:t>3</w:t>
            </w:r>
          </w:p>
        </w:tc>
      </w:tr>
      <w:tr w:rsidR="00EB562E" w:rsidRPr="00BA7902" w14:paraId="68660275" w14:textId="77777777" w:rsidTr="00EB5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0CBAD60" w14:textId="77777777" w:rsidR="00EB562E" w:rsidRPr="00BA7902" w:rsidRDefault="00EB562E" w:rsidP="00F2104E">
            <w:r>
              <w:t>5</w:t>
            </w:r>
          </w:p>
        </w:tc>
        <w:tc>
          <w:tcPr>
            <w:tcW w:w="4089" w:type="pct"/>
            <w:vAlign w:val="center"/>
          </w:tcPr>
          <w:p w14:paraId="00C728FA" w14:textId="77777777" w:rsidR="00EB562E" w:rsidRPr="00BA7902" w:rsidRDefault="00EB562E" w:rsidP="00F2104E">
            <w:pPr>
              <w:cnfStyle w:val="000000100000" w:firstRow="0" w:lastRow="0" w:firstColumn="0" w:lastColumn="0" w:oddVBand="0" w:evenVBand="0" w:oddHBand="1" w:evenHBand="0" w:firstRowFirstColumn="0" w:firstRowLastColumn="0" w:lastRowFirstColumn="0" w:lastRowLastColumn="0"/>
            </w:pPr>
            <w:r w:rsidRPr="008431F6">
              <w:t>Hasta dosyası hazırlama ve sunma</w:t>
            </w:r>
          </w:p>
        </w:tc>
        <w:tc>
          <w:tcPr>
            <w:tcW w:w="560" w:type="pct"/>
            <w:vAlign w:val="center"/>
          </w:tcPr>
          <w:p w14:paraId="737B9DEA" w14:textId="77777777" w:rsidR="00EB562E" w:rsidRPr="00BA7902" w:rsidRDefault="00EB562E" w:rsidP="00F2104E">
            <w:pPr>
              <w:jc w:val="center"/>
              <w:cnfStyle w:val="000000100000" w:firstRow="0" w:lastRow="0" w:firstColumn="0" w:lastColumn="0" w:oddVBand="0" w:evenVBand="0" w:oddHBand="1" w:evenHBand="0" w:firstRowFirstColumn="0" w:firstRowLastColumn="0" w:lastRowFirstColumn="0" w:lastRowLastColumn="0"/>
            </w:pPr>
            <w:r w:rsidRPr="008431F6">
              <w:t>2</w:t>
            </w:r>
          </w:p>
        </w:tc>
      </w:tr>
      <w:tr w:rsidR="00EB562E" w:rsidRPr="00BA7902" w14:paraId="28B8FE0A" w14:textId="77777777" w:rsidTr="00EB562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C792FD3" w14:textId="77777777" w:rsidR="00EB562E" w:rsidRPr="00BA7902" w:rsidRDefault="00EB562E" w:rsidP="00F2104E">
            <w:r>
              <w:t>6</w:t>
            </w:r>
          </w:p>
        </w:tc>
        <w:tc>
          <w:tcPr>
            <w:tcW w:w="4089" w:type="pct"/>
            <w:vAlign w:val="center"/>
          </w:tcPr>
          <w:p w14:paraId="402C8C04" w14:textId="77777777" w:rsidR="00EB562E" w:rsidRPr="00BA7902" w:rsidRDefault="00EB562E" w:rsidP="00F2104E">
            <w:pPr>
              <w:cnfStyle w:val="000000000000" w:firstRow="0" w:lastRow="0" w:firstColumn="0" w:lastColumn="0" w:oddVBand="0" w:evenVBand="0" w:oddHBand="0" w:evenHBand="0" w:firstRowFirstColumn="0" w:firstRowLastColumn="0" w:lastRowFirstColumn="0" w:lastRowLastColumn="0"/>
            </w:pPr>
            <w:r w:rsidRPr="008431F6">
              <w:t>Reçete düzenleyebilme</w:t>
            </w:r>
          </w:p>
        </w:tc>
        <w:tc>
          <w:tcPr>
            <w:tcW w:w="560" w:type="pct"/>
            <w:vAlign w:val="center"/>
          </w:tcPr>
          <w:p w14:paraId="0804518B" w14:textId="77777777" w:rsidR="00EB562E" w:rsidRPr="00BA7902" w:rsidRDefault="00EB562E" w:rsidP="00F2104E">
            <w:pPr>
              <w:jc w:val="center"/>
              <w:cnfStyle w:val="000000000000" w:firstRow="0" w:lastRow="0" w:firstColumn="0" w:lastColumn="0" w:oddVBand="0" w:evenVBand="0" w:oddHBand="0" w:evenHBand="0" w:firstRowFirstColumn="0" w:firstRowLastColumn="0" w:lastRowFirstColumn="0" w:lastRowLastColumn="0"/>
            </w:pPr>
            <w:r w:rsidRPr="008431F6">
              <w:t>5</w:t>
            </w:r>
          </w:p>
        </w:tc>
      </w:tr>
      <w:tr w:rsidR="00EB562E" w14:paraId="5F8A48A1" w14:textId="77777777" w:rsidTr="00EB5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BF6967B" w14:textId="77777777" w:rsidR="00EB562E" w:rsidRPr="00BA7902" w:rsidRDefault="00EB562E" w:rsidP="00F2104E">
            <w:r>
              <w:t>7</w:t>
            </w:r>
          </w:p>
        </w:tc>
        <w:tc>
          <w:tcPr>
            <w:tcW w:w="4089" w:type="pct"/>
            <w:vAlign w:val="center"/>
          </w:tcPr>
          <w:p w14:paraId="1DF7C626" w14:textId="77777777" w:rsidR="00EB562E" w:rsidRPr="00195BC1" w:rsidRDefault="00EB562E" w:rsidP="00F2104E">
            <w:pPr>
              <w:cnfStyle w:val="000000100000" w:firstRow="0" w:lastRow="0" w:firstColumn="0" w:lastColumn="0" w:oddVBand="0" w:evenVBand="0" w:oddHBand="1" w:evenHBand="0" w:firstRowFirstColumn="0" w:firstRowLastColumn="0" w:lastRowFirstColumn="0" w:lastRowLastColumn="0"/>
              <w:rPr>
                <w:b/>
                <w:bCs/>
                <w:u w:val="single"/>
              </w:rPr>
            </w:pPr>
            <w:r w:rsidRPr="008431F6">
              <w:t>Arter kan gazı alınması ve sonuçlarını yorumlayabilme</w:t>
            </w:r>
          </w:p>
        </w:tc>
        <w:tc>
          <w:tcPr>
            <w:tcW w:w="560" w:type="pct"/>
            <w:vAlign w:val="center"/>
          </w:tcPr>
          <w:p w14:paraId="45797500" w14:textId="77777777" w:rsidR="00EB562E" w:rsidRDefault="00EB562E" w:rsidP="00F2104E">
            <w:pPr>
              <w:jc w:val="center"/>
              <w:cnfStyle w:val="000000100000" w:firstRow="0" w:lastRow="0" w:firstColumn="0" w:lastColumn="0" w:oddVBand="0" w:evenVBand="0" w:oddHBand="1" w:evenHBand="0" w:firstRowFirstColumn="0" w:firstRowLastColumn="0" w:lastRowFirstColumn="0" w:lastRowLastColumn="0"/>
            </w:pPr>
            <w:r w:rsidRPr="008431F6">
              <w:t>5</w:t>
            </w:r>
          </w:p>
        </w:tc>
      </w:tr>
      <w:tr w:rsidR="00EB562E" w14:paraId="6E888A8F" w14:textId="77777777" w:rsidTr="00EB562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7113B34" w14:textId="77777777" w:rsidR="00EB562E" w:rsidRPr="00BA7902" w:rsidRDefault="00EB562E" w:rsidP="00F2104E">
            <w:r>
              <w:t>8</w:t>
            </w:r>
          </w:p>
        </w:tc>
        <w:tc>
          <w:tcPr>
            <w:tcW w:w="4089" w:type="pct"/>
            <w:vAlign w:val="center"/>
          </w:tcPr>
          <w:p w14:paraId="4B191740" w14:textId="77777777" w:rsidR="00EB562E" w:rsidRPr="00195BC1" w:rsidRDefault="00EB562E" w:rsidP="00F2104E">
            <w:pPr>
              <w:cnfStyle w:val="000000000000" w:firstRow="0" w:lastRow="0" w:firstColumn="0" w:lastColumn="0" w:oddVBand="0" w:evenVBand="0" w:oddHBand="0" w:evenHBand="0" w:firstRowFirstColumn="0" w:firstRowLastColumn="0" w:lastRowFirstColumn="0" w:lastRowLastColumn="0"/>
              <w:rPr>
                <w:b/>
                <w:bCs/>
                <w:u w:val="single"/>
              </w:rPr>
            </w:pPr>
            <w:r w:rsidRPr="008431F6">
              <w:t>Direkt radyografileri okuma ve değerlendirebilme</w:t>
            </w:r>
          </w:p>
        </w:tc>
        <w:tc>
          <w:tcPr>
            <w:tcW w:w="560" w:type="pct"/>
            <w:vAlign w:val="center"/>
          </w:tcPr>
          <w:p w14:paraId="1C9DD888" w14:textId="77777777" w:rsidR="00EB562E" w:rsidRDefault="00EB562E" w:rsidP="00F2104E">
            <w:pPr>
              <w:jc w:val="center"/>
              <w:cnfStyle w:val="000000000000" w:firstRow="0" w:lastRow="0" w:firstColumn="0" w:lastColumn="0" w:oddVBand="0" w:evenVBand="0" w:oddHBand="0" w:evenHBand="0" w:firstRowFirstColumn="0" w:firstRowLastColumn="0" w:lastRowFirstColumn="0" w:lastRowLastColumn="0"/>
            </w:pPr>
            <w:r w:rsidRPr="008431F6">
              <w:t>10</w:t>
            </w:r>
          </w:p>
        </w:tc>
      </w:tr>
      <w:tr w:rsidR="00EB562E" w14:paraId="2C8A96A9" w14:textId="77777777" w:rsidTr="00EB5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7386FC9" w14:textId="77777777" w:rsidR="00EB562E" w:rsidRPr="00BA7902" w:rsidRDefault="00EB562E" w:rsidP="00F2104E">
            <w:r>
              <w:t>9</w:t>
            </w:r>
          </w:p>
        </w:tc>
        <w:tc>
          <w:tcPr>
            <w:tcW w:w="4089" w:type="pct"/>
            <w:vAlign w:val="center"/>
          </w:tcPr>
          <w:p w14:paraId="1B2531C9" w14:textId="77777777" w:rsidR="00EB562E" w:rsidRPr="00195BC1" w:rsidRDefault="00EB562E" w:rsidP="00F2104E">
            <w:pPr>
              <w:cnfStyle w:val="000000100000" w:firstRow="0" w:lastRow="0" w:firstColumn="0" w:lastColumn="0" w:oddVBand="0" w:evenVBand="0" w:oddHBand="1" w:evenHBand="0" w:firstRowFirstColumn="0" w:firstRowLastColumn="0" w:lastRowFirstColumn="0" w:lastRowLastColumn="0"/>
              <w:rPr>
                <w:b/>
                <w:bCs/>
                <w:u w:val="single"/>
              </w:rPr>
            </w:pPr>
            <w:r w:rsidRPr="008431F6">
              <w:t>Genel fizik muayene</w:t>
            </w:r>
          </w:p>
        </w:tc>
        <w:tc>
          <w:tcPr>
            <w:tcW w:w="560" w:type="pct"/>
            <w:vAlign w:val="center"/>
          </w:tcPr>
          <w:p w14:paraId="7CF3B599" w14:textId="77777777" w:rsidR="00EB562E" w:rsidRDefault="00EB562E" w:rsidP="00F2104E">
            <w:pPr>
              <w:jc w:val="center"/>
              <w:cnfStyle w:val="000000100000" w:firstRow="0" w:lastRow="0" w:firstColumn="0" w:lastColumn="0" w:oddVBand="0" w:evenVBand="0" w:oddHBand="1" w:evenHBand="0" w:firstRowFirstColumn="0" w:firstRowLastColumn="0" w:lastRowFirstColumn="0" w:lastRowLastColumn="0"/>
            </w:pPr>
            <w:r w:rsidRPr="008431F6">
              <w:t>5</w:t>
            </w:r>
          </w:p>
        </w:tc>
      </w:tr>
      <w:tr w:rsidR="00EB562E" w14:paraId="0C7D4B2F" w14:textId="77777777" w:rsidTr="00EB562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BC29068" w14:textId="77777777" w:rsidR="00EB562E" w:rsidRPr="00BA7902" w:rsidRDefault="00EB562E" w:rsidP="00F2104E">
            <w:r>
              <w:t>10</w:t>
            </w:r>
          </w:p>
        </w:tc>
        <w:tc>
          <w:tcPr>
            <w:tcW w:w="4089" w:type="pct"/>
            <w:vAlign w:val="center"/>
          </w:tcPr>
          <w:p w14:paraId="522ADCC4" w14:textId="77777777" w:rsidR="00EB562E" w:rsidRPr="00195BC1" w:rsidRDefault="00EB562E" w:rsidP="00F2104E">
            <w:pPr>
              <w:cnfStyle w:val="000000000000" w:firstRow="0" w:lastRow="0" w:firstColumn="0" w:lastColumn="0" w:oddVBand="0" w:evenVBand="0" w:oddHBand="0" w:evenHBand="0" w:firstRowFirstColumn="0" w:firstRowLastColumn="0" w:lastRowFirstColumn="0" w:lastRowLastColumn="0"/>
              <w:rPr>
                <w:b/>
                <w:bCs/>
                <w:u w:val="single"/>
              </w:rPr>
            </w:pPr>
            <w:r w:rsidRPr="008431F6">
              <w:t>Kültür için örnek alabilme</w:t>
            </w:r>
          </w:p>
        </w:tc>
        <w:tc>
          <w:tcPr>
            <w:tcW w:w="560" w:type="pct"/>
            <w:vAlign w:val="center"/>
          </w:tcPr>
          <w:p w14:paraId="51643620" w14:textId="77777777" w:rsidR="00EB562E" w:rsidRDefault="00EB562E" w:rsidP="00F2104E">
            <w:pPr>
              <w:jc w:val="center"/>
              <w:cnfStyle w:val="000000000000" w:firstRow="0" w:lastRow="0" w:firstColumn="0" w:lastColumn="0" w:oddVBand="0" w:evenVBand="0" w:oddHBand="0" w:evenHBand="0" w:firstRowFirstColumn="0" w:firstRowLastColumn="0" w:lastRowFirstColumn="0" w:lastRowLastColumn="0"/>
            </w:pPr>
            <w:r w:rsidRPr="008431F6">
              <w:t>3</w:t>
            </w:r>
          </w:p>
        </w:tc>
      </w:tr>
      <w:tr w:rsidR="00EB562E" w14:paraId="35D3EADC" w14:textId="77777777" w:rsidTr="00EB5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DBA1095" w14:textId="77777777" w:rsidR="00EB562E" w:rsidRPr="00BA7902" w:rsidRDefault="00EB562E" w:rsidP="00F2104E">
            <w:r>
              <w:t>11</w:t>
            </w:r>
          </w:p>
        </w:tc>
        <w:tc>
          <w:tcPr>
            <w:tcW w:w="4089" w:type="pct"/>
            <w:vAlign w:val="center"/>
          </w:tcPr>
          <w:p w14:paraId="261AFB0C" w14:textId="77777777" w:rsidR="00EB562E" w:rsidRPr="00195BC1" w:rsidRDefault="00EB562E" w:rsidP="00F2104E">
            <w:pPr>
              <w:cnfStyle w:val="000000100000" w:firstRow="0" w:lastRow="0" w:firstColumn="0" w:lastColumn="0" w:oddVBand="0" w:evenVBand="0" w:oddHBand="1" w:evenHBand="0" w:firstRowFirstColumn="0" w:firstRowLastColumn="0" w:lastRowFirstColumn="0" w:lastRowLastColumn="0"/>
              <w:rPr>
                <w:b/>
                <w:bCs/>
                <w:u w:val="single"/>
              </w:rPr>
            </w:pPr>
            <w:r w:rsidRPr="008431F6">
              <w:t>Oksijen ve nebul-inhaler tedavisi uygulayabilme</w:t>
            </w:r>
          </w:p>
        </w:tc>
        <w:tc>
          <w:tcPr>
            <w:tcW w:w="560" w:type="pct"/>
            <w:vAlign w:val="center"/>
          </w:tcPr>
          <w:p w14:paraId="741DC9CE" w14:textId="77777777" w:rsidR="00EB562E" w:rsidRDefault="00EB562E" w:rsidP="00F2104E">
            <w:pPr>
              <w:jc w:val="center"/>
              <w:cnfStyle w:val="000000100000" w:firstRow="0" w:lastRow="0" w:firstColumn="0" w:lastColumn="0" w:oddVBand="0" w:evenVBand="0" w:oddHBand="1" w:evenHBand="0" w:firstRowFirstColumn="0" w:firstRowLastColumn="0" w:lastRowFirstColumn="0" w:lastRowLastColumn="0"/>
            </w:pPr>
            <w:r w:rsidRPr="008431F6">
              <w:t>5</w:t>
            </w:r>
          </w:p>
        </w:tc>
      </w:tr>
      <w:tr w:rsidR="00EB562E" w14:paraId="2B16AFD9" w14:textId="77777777" w:rsidTr="00EB562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DE5B9B0" w14:textId="77777777" w:rsidR="00EB562E" w:rsidRPr="00BA7902" w:rsidRDefault="00EB562E" w:rsidP="00F2104E">
            <w:r>
              <w:t>12</w:t>
            </w:r>
          </w:p>
        </w:tc>
        <w:tc>
          <w:tcPr>
            <w:tcW w:w="4089" w:type="pct"/>
            <w:vAlign w:val="center"/>
          </w:tcPr>
          <w:p w14:paraId="11115E85" w14:textId="77777777" w:rsidR="00EB562E" w:rsidRPr="00195BC1" w:rsidRDefault="00EB562E" w:rsidP="00F2104E">
            <w:pPr>
              <w:cnfStyle w:val="000000000000" w:firstRow="0" w:lastRow="0" w:firstColumn="0" w:lastColumn="0" w:oddVBand="0" w:evenVBand="0" w:oddHBand="0" w:evenHBand="0" w:firstRowFirstColumn="0" w:firstRowLastColumn="0" w:lastRowFirstColumn="0" w:lastRowLastColumn="0"/>
              <w:rPr>
                <w:b/>
                <w:bCs/>
                <w:u w:val="single"/>
              </w:rPr>
            </w:pPr>
            <w:r w:rsidRPr="008431F6">
              <w:t>Plevral ponksiyon yapabilme</w:t>
            </w:r>
          </w:p>
        </w:tc>
        <w:tc>
          <w:tcPr>
            <w:tcW w:w="560" w:type="pct"/>
            <w:vAlign w:val="center"/>
          </w:tcPr>
          <w:p w14:paraId="6263D607" w14:textId="77777777" w:rsidR="00EB562E" w:rsidRDefault="00EB562E" w:rsidP="00F2104E">
            <w:pPr>
              <w:jc w:val="center"/>
              <w:cnfStyle w:val="000000000000" w:firstRow="0" w:lastRow="0" w:firstColumn="0" w:lastColumn="0" w:oddVBand="0" w:evenVBand="0" w:oddHBand="0" w:evenHBand="0" w:firstRowFirstColumn="0" w:firstRowLastColumn="0" w:lastRowFirstColumn="0" w:lastRowLastColumn="0"/>
            </w:pPr>
            <w:r w:rsidRPr="008431F6">
              <w:t>1</w:t>
            </w:r>
          </w:p>
        </w:tc>
      </w:tr>
      <w:tr w:rsidR="00EB562E" w14:paraId="4D54A829" w14:textId="77777777" w:rsidTr="00EB5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064E17D" w14:textId="77777777" w:rsidR="00EB562E" w:rsidRPr="00BA7902" w:rsidRDefault="00EB562E" w:rsidP="00F2104E">
            <w:r>
              <w:t>13</w:t>
            </w:r>
          </w:p>
        </w:tc>
        <w:tc>
          <w:tcPr>
            <w:tcW w:w="4089" w:type="pct"/>
            <w:vAlign w:val="center"/>
          </w:tcPr>
          <w:p w14:paraId="592B4117" w14:textId="77777777" w:rsidR="00EB562E" w:rsidRPr="00195BC1" w:rsidRDefault="00EB562E" w:rsidP="00F2104E">
            <w:pPr>
              <w:cnfStyle w:val="000000100000" w:firstRow="0" w:lastRow="0" w:firstColumn="0" w:lastColumn="0" w:oddVBand="0" w:evenVBand="0" w:oddHBand="1" w:evenHBand="0" w:firstRowFirstColumn="0" w:firstRowLastColumn="0" w:lastRowFirstColumn="0" w:lastRowLastColumn="0"/>
              <w:rPr>
                <w:b/>
                <w:bCs/>
                <w:u w:val="single"/>
              </w:rPr>
            </w:pPr>
            <w:r w:rsidRPr="008431F6">
              <w:t>PPD testi uygulayabilme</w:t>
            </w:r>
          </w:p>
        </w:tc>
        <w:tc>
          <w:tcPr>
            <w:tcW w:w="560" w:type="pct"/>
            <w:vAlign w:val="center"/>
          </w:tcPr>
          <w:p w14:paraId="6B6CF089" w14:textId="77777777" w:rsidR="00EB562E" w:rsidRDefault="00EB562E" w:rsidP="00F2104E">
            <w:pPr>
              <w:jc w:val="center"/>
              <w:cnfStyle w:val="000000100000" w:firstRow="0" w:lastRow="0" w:firstColumn="0" w:lastColumn="0" w:oddVBand="0" w:evenVBand="0" w:oddHBand="1" w:evenHBand="0" w:firstRowFirstColumn="0" w:firstRowLastColumn="0" w:lastRowFirstColumn="0" w:lastRowLastColumn="0"/>
            </w:pPr>
            <w:r w:rsidRPr="008431F6">
              <w:t>1</w:t>
            </w:r>
          </w:p>
        </w:tc>
      </w:tr>
      <w:tr w:rsidR="00EB562E" w:rsidRPr="00BA7902" w14:paraId="35922D20" w14:textId="77777777" w:rsidTr="00EB562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3C4186B" w14:textId="77777777" w:rsidR="00EB562E" w:rsidRPr="00BA7902" w:rsidRDefault="00EB562E" w:rsidP="00F2104E">
            <w:r>
              <w:t>14</w:t>
            </w:r>
          </w:p>
        </w:tc>
        <w:tc>
          <w:tcPr>
            <w:tcW w:w="4089" w:type="pct"/>
            <w:vAlign w:val="center"/>
          </w:tcPr>
          <w:p w14:paraId="54E98D72" w14:textId="77777777" w:rsidR="00EB562E" w:rsidRPr="00BA7902" w:rsidRDefault="00EB562E" w:rsidP="00F2104E">
            <w:pPr>
              <w:cnfStyle w:val="000000000000" w:firstRow="0" w:lastRow="0" w:firstColumn="0" w:lastColumn="0" w:oddVBand="0" w:evenVBand="0" w:oddHBand="0" w:evenHBand="0" w:firstRowFirstColumn="0" w:firstRowLastColumn="0" w:lastRowFirstColumn="0" w:lastRowLastColumn="0"/>
            </w:pPr>
            <w:r w:rsidRPr="008431F6">
              <w:t>Pulsoksimetre uygulayabilme ve değerlendirebilme</w:t>
            </w:r>
          </w:p>
        </w:tc>
        <w:tc>
          <w:tcPr>
            <w:tcW w:w="560" w:type="pct"/>
            <w:vAlign w:val="center"/>
          </w:tcPr>
          <w:p w14:paraId="1EE440AF" w14:textId="77777777" w:rsidR="00EB562E" w:rsidRPr="00BA7902" w:rsidRDefault="00EB562E" w:rsidP="00F2104E">
            <w:pPr>
              <w:jc w:val="center"/>
              <w:cnfStyle w:val="000000000000" w:firstRow="0" w:lastRow="0" w:firstColumn="0" w:lastColumn="0" w:oddVBand="0" w:evenVBand="0" w:oddHBand="0" w:evenHBand="0" w:firstRowFirstColumn="0" w:firstRowLastColumn="0" w:lastRowFirstColumn="0" w:lastRowLastColumn="0"/>
            </w:pPr>
            <w:r w:rsidRPr="008431F6">
              <w:t>10</w:t>
            </w:r>
          </w:p>
        </w:tc>
      </w:tr>
      <w:tr w:rsidR="00EB562E" w:rsidRPr="00BA7902" w14:paraId="138C28AF" w14:textId="77777777" w:rsidTr="00EB5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3D9FD44" w14:textId="77777777" w:rsidR="00EB562E" w:rsidRPr="00BA7902" w:rsidRDefault="00EB562E" w:rsidP="00F2104E">
            <w:r>
              <w:t>15</w:t>
            </w:r>
          </w:p>
        </w:tc>
        <w:tc>
          <w:tcPr>
            <w:tcW w:w="4089" w:type="pct"/>
            <w:vAlign w:val="center"/>
          </w:tcPr>
          <w:p w14:paraId="1CD5EEF9" w14:textId="77777777" w:rsidR="00EB562E" w:rsidRPr="00BA7902" w:rsidRDefault="00EB562E" w:rsidP="00F2104E">
            <w:pPr>
              <w:cnfStyle w:val="000000100000" w:firstRow="0" w:lastRow="0" w:firstColumn="0" w:lastColumn="0" w:oddVBand="0" w:evenVBand="0" w:oddHBand="1" w:evenHBand="0" w:firstRowFirstColumn="0" w:firstRowLastColumn="0" w:lastRowFirstColumn="0" w:lastRowLastColumn="0"/>
            </w:pPr>
            <w:r w:rsidRPr="008431F6">
              <w:t>Solunum fonksiyon testlerini değerlendirebilme</w:t>
            </w:r>
          </w:p>
        </w:tc>
        <w:tc>
          <w:tcPr>
            <w:tcW w:w="560" w:type="pct"/>
            <w:vAlign w:val="center"/>
          </w:tcPr>
          <w:p w14:paraId="563D950E" w14:textId="77777777" w:rsidR="00EB562E" w:rsidRPr="00BA7902" w:rsidRDefault="00EB562E" w:rsidP="00F2104E">
            <w:pPr>
              <w:jc w:val="center"/>
              <w:cnfStyle w:val="000000100000" w:firstRow="0" w:lastRow="0" w:firstColumn="0" w:lastColumn="0" w:oddVBand="0" w:evenVBand="0" w:oddHBand="1" w:evenHBand="0" w:firstRowFirstColumn="0" w:firstRowLastColumn="0" w:lastRowFirstColumn="0" w:lastRowLastColumn="0"/>
            </w:pPr>
            <w:r w:rsidRPr="008431F6">
              <w:t>10</w:t>
            </w:r>
          </w:p>
        </w:tc>
      </w:tr>
      <w:tr w:rsidR="00EB562E" w:rsidRPr="00BA7902" w14:paraId="49DE0E67" w14:textId="77777777" w:rsidTr="00EB562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30178F3" w14:textId="77777777" w:rsidR="00EB562E" w:rsidRPr="00BA7902" w:rsidRDefault="00EB562E" w:rsidP="00F2104E">
            <w:r>
              <w:t>16</w:t>
            </w:r>
          </w:p>
        </w:tc>
        <w:tc>
          <w:tcPr>
            <w:tcW w:w="4089" w:type="pct"/>
            <w:vAlign w:val="center"/>
          </w:tcPr>
          <w:p w14:paraId="6A89BEAB" w14:textId="77777777" w:rsidR="00EB562E" w:rsidRPr="00BA7902" w:rsidRDefault="00EB562E" w:rsidP="00F2104E">
            <w:pPr>
              <w:cnfStyle w:val="000000000000" w:firstRow="0" w:lastRow="0" w:firstColumn="0" w:lastColumn="0" w:oddVBand="0" w:evenVBand="0" w:oddHBand="0" w:evenHBand="0" w:firstRowFirstColumn="0" w:firstRowLastColumn="0" w:lastRowFirstColumn="0" w:lastRowLastColumn="0"/>
            </w:pPr>
            <w:r w:rsidRPr="008431F6">
              <w:t>Bronkoskopik gözlem ve endikasyonları</w:t>
            </w:r>
          </w:p>
        </w:tc>
        <w:tc>
          <w:tcPr>
            <w:tcW w:w="560" w:type="pct"/>
            <w:vAlign w:val="center"/>
          </w:tcPr>
          <w:p w14:paraId="41648F66" w14:textId="77777777" w:rsidR="00EB562E" w:rsidRPr="00BA7902" w:rsidRDefault="00EB562E" w:rsidP="00F2104E">
            <w:pPr>
              <w:jc w:val="center"/>
              <w:cnfStyle w:val="000000000000" w:firstRow="0" w:lastRow="0" w:firstColumn="0" w:lastColumn="0" w:oddVBand="0" w:evenVBand="0" w:oddHBand="0" w:evenHBand="0" w:firstRowFirstColumn="0" w:firstRowLastColumn="0" w:lastRowFirstColumn="0" w:lastRowLastColumn="0"/>
            </w:pPr>
            <w:r w:rsidRPr="008431F6">
              <w:t>5</w:t>
            </w:r>
          </w:p>
        </w:tc>
      </w:tr>
      <w:tr w:rsidR="00EB562E" w:rsidRPr="00BA7902" w14:paraId="59BF30C1" w14:textId="77777777" w:rsidTr="00EB5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6DB50CB" w14:textId="77777777" w:rsidR="00EB562E" w:rsidRPr="00BA7902" w:rsidRDefault="00EB562E" w:rsidP="00F2104E">
            <w:r>
              <w:t>17</w:t>
            </w:r>
          </w:p>
        </w:tc>
        <w:tc>
          <w:tcPr>
            <w:tcW w:w="4089" w:type="pct"/>
            <w:vAlign w:val="center"/>
          </w:tcPr>
          <w:p w14:paraId="06B7719D" w14:textId="77777777" w:rsidR="00EB562E" w:rsidRPr="00BA7902" w:rsidRDefault="00EB562E" w:rsidP="00F2104E">
            <w:pPr>
              <w:cnfStyle w:val="000000100000" w:firstRow="0" w:lastRow="0" w:firstColumn="0" w:lastColumn="0" w:oddVBand="0" w:evenVBand="0" w:oddHBand="1" w:evenHBand="0" w:firstRowFirstColumn="0" w:firstRowLastColumn="0" w:lastRowFirstColumn="0" w:lastRowLastColumn="0"/>
            </w:pPr>
            <w:r w:rsidRPr="008431F6">
              <w:t>Uyku laboratuvarı çalışmalarını izleme</w:t>
            </w:r>
          </w:p>
        </w:tc>
        <w:tc>
          <w:tcPr>
            <w:tcW w:w="560" w:type="pct"/>
            <w:vAlign w:val="center"/>
          </w:tcPr>
          <w:p w14:paraId="468E3CCC" w14:textId="77777777" w:rsidR="00EB562E" w:rsidRPr="00BA7902" w:rsidRDefault="00EB562E" w:rsidP="00F2104E">
            <w:pPr>
              <w:jc w:val="center"/>
              <w:cnfStyle w:val="000000100000" w:firstRow="0" w:lastRow="0" w:firstColumn="0" w:lastColumn="0" w:oddVBand="0" w:evenVBand="0" w:oddHBand="1" w:evenHBand="0" w:firstRowFirstColumn="0" w:firstRowLastColumn="0" w:lastRowFirstColumn="0" w:lastRowLastColumn="0"/>
            </w:pPr>
            <w:r w:rsidRPr="008431F6">
              <w:t>2</w:t>
            </w:r>
          </w:p>
        </w:tc>
      </w:tr>
    </w:tbl>
    <w:p w14:paraId="457C0476" w14:textId="75409502" w:rsidR="000D17AB" w:rsidRDefault="000D17AB" w:rsidP="000D17AB">
      <w:pPr>
        <w:spacing w:before="240" w:line="240" w:lineRule="auto"/>
        <w:ind w:firstLine="708"/>
        <w:jc w:val="both"/>
        <w:rPr>
          <w:rFonts w:ascii="Calibri" w:eastAsia="Calibri" w:hAnsi="Calibri" w:cs="Times New Roman"/>
        </w:rPr>
      </w:pPr>
    </w:p>
    <w:p w14:paraId="0941C468"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32"/>
          <w:szCs w:val="26"/>
        </w:rPr>
      </w:pPr>
      <w:bookmarkStart w:id="3" w:name="_Toc73453216"/>
      <w:r w:rsidRPr="000D17AB">
        <w:rPr>
          <w:rFonts w:ascii="Arial" w:eastAsia="Times New Roman" w:hAnsi="Arial" w:cs="Times New Roman"/>
          <w:b/>
          <w:sz w:val="24"/>
          <w:szCs w:val="26"/>
        </w:rPr>
        <w:t>Tutum ve Davranış Değerlendirme</w:t>
      </w:r>
      <w:bookmarkEnd w:id="3"/>
    </w:p>
    <w:p w14:paraId="3B186EA6" w14:textId="77777777" w:rsidR="000D17AB" w:rsidRPr="000D17AB" w:rsidRDefault="000D17AB" w:rsidP="000D17AB">
      <w:pPr>
        <w:spacing w:line="240" w:lineRule="auto"/>
        <w:ind w:firstLine="708"/>
        <w:jc w:val="both"/>
        <w:rPr>
          <w:rFonts w:ascii="Times New Roman" w:eastAsia="Calibri" w:hAnsi="Times New Roman" w:cs="Times New Roman"/>
        </w:rPr>
      </w:pPr>
      <w:r w:rsidRPr="000D17AB">
        <w:rPr>
          <w:rFonts w:ascii="Calibri" w:eastAsia="Calibri" w:hAnsi="Calibri" w:cs="Times New Roman"/>
        </w:rPr>
        <w:t>İntern doktor, hekimlik etiğine uygun tutum ve davranış 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puan üzerinden değerlendirilmelidir.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756"/>
        <w:gridCol w:w="2924"/>
      </w:tblGrid>
      <w:tr w:rsidR="000D17AB" w:rsidRPr="000D17AB" w14:paraId="267412A1" w14:textId="77777777" w:rsidTr="000D17AB">
        <w:trPr>
          <w:trHeight w:val="397"/>
        </w:trPr>
        <w:tc>
          <w:tcPr>
            <w:tcW w:w="2422" w:type="pct"/>
            <w:vAlign w:val="center"/>
          </w:tcPr>
          <w:p w14:paraId="335997DE"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Tutum ve Davranışlar</w:t>
            </w:r>
          </w:p>
        </w:tc>
        <w:tc>
          <w:tcPr>
            <w:tcW w:w="1251" w:type="pct"/>
            <w:vAlign w:val="center"/>
          </w:tcPr>
          <w:p w14:paraId="0F23F705" w14:textId="77777777" w:rsidR="000D17AB" w:rsidRPr="000D17AB" w:rsidRDefault="000D17AB" w:rsidP="000D17AB">
            <w:pPr>
              <w:spacing w:after="0" w:line="240" w:lineRule="auto"/>
              <w:jc w:val="center"/>
              <w:rPr>
                <w:rFonts w:ascii="Calibri" w:eastAsia="Calibri" w:hAnsi="Calibri" w:cs="Times New Roman"/>
                <w:b/>
                <w:bCs/>
              </w:rPr>
            </w:pPr>
            <w:r w:rsidRPr="000D17AB">
              <w:rPr>
                <w:rFonts w:ascii="Calibri" w:eastAsia="Calibri" w:hAnsi="Calibri" w:cs="Times New Roman"/>
                <w:b/>
                <w:bCs/>
              </w:rPr>
              <w:t>Öğrenim Yöntemi</w:t>
            </w:r>
          </w:p>
        </w:tc>
        <w:tc>
          <w:tcPr>
            <w:tcW w:w="1326" w:type="pct"/>
            <w:vAlign w:val="center"/>
          </w:tcPr>
          <w:p w14:paraId="71C82659" w14:textId="77777777" w:rsidR="000D17AB" w:rsidRPr="000D17AB" w:rsidRDefault="000D17AB" w:rsidP="000D17AB">
            <w:pPr>
              <w:spacing w:after="0" w:line="240" w:lineRule="auto"/>
              <w:ind w:left="37"/>
              <w:jc w:val="center"/>
              <w:rPr>
                <w:rFonts w:ascii="Calibri" w:eastAsia="Calibri" w:hAnsi="Calibri" w:cs="Times New Roman"/>
                <w:b/>
                <w:bCs/>
              </w:rPr>
            </w:pPr>
            <w:r w:rsidRPr="000D17AB">
              <w:rPr>
                <w:rFonts w:ascii="Calibri" w:eastAsia="Calibri" w:hAnsi="Calibri" w:cs="Times New Roman"/>
                <w:b/>
                <w:bCs/>
              </w:rPr>
              <w:t>Değerlendirme</w:t>
            </w:r>
          </w:p>
        </w:tc>
      </w:tr>
      <w:tr w:rsidR="000D17AB" w:rsidRPr="000D17AB" w14:paraId="41788592" w14:textId="77777777" w:rsidTr="000D17AB">
        <w:tc>
          <w:tcPr>
            <w:tcW w:w="5000" w:type="pct"/>
            <w:gridSpan w:val="3"/>
            <w:shd w:val="clear" w:color="auto" w:fill="F2F2F2"/>
          </w:tcPr>
          <w:p w14:paraId="4DFB6C5A"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İletişim</w:t>
            </w:r>
          </w:p>
        </w:tc>
      </w:tr>
      <w:tr w:rsidR="000D17AB" w:rsidRPr="000D17AB" w14:paraId="7A9B0305" w14:textId="77777777" w:rsidTr="000D17AB">
        <w:trPr>
          <w:trHeight w:val="680"/>
        </w:trPr>
        <w:tc>
          <w:tcPr>
            <w:tcW w:w="2422" w:type="pct"/>
            <w:vAlign w:val="center"/>
          </w:tcPr>
          <w:p w14:paraId="47A919D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 ile profesyonel iletişim kurar.</w:t>
            </w:r>
          </w:p>
        </w:tc>
        <w:tc>
          <w:tcPr>
            <w:tcW w:w="1251" w:type="pct"/>
            <w:vAlign w:val="center"/>
          </w:tcPr>
          <w:p w14:paraId="3D50305B"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85BED3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9A784B6" w14:textId="77777777" w:rsidR="000D17AB" w:rsidRPr="000D17AB" w:rsidRDefault="000D17AB" w:rsidP="000D17AB">
            <w:pPr>
              <w:spacing w:after="0" w:line="240" w:lineRule="auto"/>
              <w:rPr>
                <w:rFonts w:ascii="Calibri" w:eastAsia="Calibri" w:hAnsi="Calibri" w:cs="Times New Roman"/>
              </w:rPr>
            </w:pPr>
          </w:p>
        </w:tc>
      </w:tr>
      <w:tr w:rsidR="000D17AB" w:rsidRPr="000D17AB" w14:paraId="35190B53" w14:textId="77777777" w:rsidTr="000D17AB">
        <w:trPr>
          <w:trHeight w:val="680"/>
        </w:trPr>
        <w:tc>
          <w:tcPr>
            <w:tcW w:w="2422" w:type="pct"/>
            <w:vAlign w:val="center"/>
          </w:tcPr>
          <w:p w14:paraId="27CFCCE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yakınlarından doğru ve geçerli bilgi edinir, kaydeder ve sentezler.</w:t>
            </w:r>
          </w:p>
        </w:tc>
        <w:tc>
          <w:tcPr>
            <w:tcW w:w="1251" w:type="pct"/>
            <w:vAlign w:val="center"/>
          </w:tcPr>
          <w:p w14:paraId="69F49DF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85C398F" w14:textId="77777777" w:rsidR="000D17AB" w:rsidRPr="000D17AB" w:rsidRDefault="000D17AB" w:rsidP="000D17AB">
            <w:pPr>
              <w:spacing w:after="0" w:line="240" w:lineRule="auto"/>
              <w:rPr>
                <w:rFonts w:ascii="Calibri" w:eastAsia="Calibri" w:hAnsi="Calibri" w:cs="Times New Roman"/>
              </w:rPr>
            </w:pPr>
          </w:p>
        </w:tc>
      </w:tr>
      <w:tr w:rsidR="000D17AB" w:rsidRPr="000D17AB" w14:paraId="7B932B32" w14:textId="77777777" w:rsidTr="000D17AB">
        <w:trPr>
          <w:trHeight w:val="680"/>
        </w:trPr>
        <w:tc>
          <w:tcPr>
            <w:tcW w:w="2422" w:type="pct"/>
            <w:vAlign w:val="center"/>
          </w:tcPr>
          <w:p w14:paraId="1CD449F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bakımı ile ilgili hedefleri ve planları, hasta ve hasta yakınları ile paylaşır, onam alır.</w:t>
            </w:r>
          </w:p>
        </w:tc>
        <w:tc>
          <w:tcPr>
            <w:tcW w:w="1251" w:type="pct"/>
            <w:vAlign w:val="center"/>
          </w:tcPr>
          <w:p w14:paraId="17266844"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377AC2E2" w14:textId="77777777" w:rsidR="000D17AB" w:rsidRPr="000D17AB" w:rsidRDefault="000D17AB" w:rsidP="000D17AB">
            <w:pPr>
              <w:spacing w:after="0" w:line="240" w:lineRule="auto"/>
              <w:rPr>
                <w:rFonts w:ascii="Calibri" w:eastAsia="Calibri" w:hAnsi="Calibri" w:cs="Times New Roman"/>
              </w:rPr>
            </w:pPr>
          </w:p>
        </w:tc>
      </w:tr>
      <w:tr w:rsidR="000D17AB" w:rsidRPr="000D17AB" w14:paraId="36AC543E" w14:textId="77777777" w:rsidTr="000D17AB">
        <w:trPr>
          <w:trHeight w:val="680"/>
        </w:trPr>
        <w:tc>
          <w:tcPr>
            <w:tcW w:w="2422" w:type="pct"/>
            <w:vAlign w:val="center"/>
          </w:tcPr>
          <w:p w14:paraId="57ED07DC"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 planlarının geliştirilmesi sürecine hasta ve hasta yakınlarının katılımını teşvik eder.</w:t>
            </w:r>
          </w:p>
        </w:tc>
        <w:tc>
          <w:tcPr>
            <w:tcW w:w="1251" w:type="pct"/>
            <w:vAlign w:val="center"/>
          </w:tcPr>
          <w:p w14:paraId="3B5375F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0BE04B10" w14:textId="77777777" w:rsidR="000D17AB" w:rsidRPr="000D17AB" w:rsidRDefault="000D17AB" w:rsidP="000D17AB">
            <w:pPr>
              <w:spacing w:after="0" w:line="240" w:lineRule="auto"/>
              <w:rPr>
                <w:rFonts w:ascii="Calibri" w:eastAsia="Calibri" w:hAnsi="Calibri" w:cs="Times New Roman"/>
              </w:rPr>
            </w:pPr>
          </w:p>
        </w:tc>
      </w:tr>
      <w:tr w:rsidR="000D17AB" w:rsidRPr="000D17AB" w14:paraId="52E0BB2F" w14:textId="77777777" w:rsidTr="000D17AB">
        <w:trPr>
          <w:trHeight w:val="680"/>
        </w:trPr>
        <w:tc>
          <w:tcPr>
            <w:tcW w:w="2422" w:type="pct"/>
            <w:vAlign w:val="center"/>
          </w:tcPr>
          <w:p w14:paraId="0C28A78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Tıbbi görüşmelere ilişkin yazılı ve elektronik bilgileri belgeler ve uygun şekilde paylaşır.</w:t>
            </w:r>
          </w:p>
        </w:tc>
        <w:tc>
          <w:tcPr>
            <w:tcW w:w="1251" w:type="pct"/>
            <w:vAlign w:val="center"/>
          </w:tcPr>
          <w:p w14:paraId="0EB02A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1769DA19" w14:textId="77777777" w:rsidR="000D17AB" w:rsidRPr="000D17AB" w:rsidRDefault="000D17AB" w:rsidP="000D17AB">
            <w:pPr>
              <w:spacing w:after="0" w:line="240" w:lineRule="auto"/>
              <w:rPr>
                <w:rFonts w:ascii="Calibri" w:eastAsia="Calibri" w:hAnsi="Calibri" w:cs="Times New Roman"/>
              </w:rPr>
            </w:pPr>
          </w:p>
        </w:tc>
      </w:tr>
      <w:tr w:rsidR="000D17AB" w:rsidRPr="000D17AB" w14:paraId="3F0E41E2" w14:textId="77777777" w:rsidTr="000D17AB">
        <w:trPr>
          <w:trHeight w:val="680"/>
        </w:trPr>
        <w:tc>
          <w:tcPr>
            <w:tcW w:w="2422" w:type="pct"/>
            <w:vAlign w:val="center"/>
          </w:tcPr>
          <w:p w14:paraId="1279EC9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elemanları ile etkili iletişim kurar.</w:t>
            </w:r>
          </w:p>
        </w:tc>
        <w:tc>
          <w:tcPr>
            <w:tcW w:w="1251" w:type="pct"/>
            <w:vAlign w:val="center"/>
          </w:tcPr>
          <w:p w14:paraId="6A753F2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F03C7A1" w14:textId="77777777" w:rsidR="000D17AB" w:rsidRPr="000D17AB" w:rsidRDefault="000D17AB" w:rsidP="000D17AB">
            <w:pPr>
              <w:spacing w:after="0" w:line="240" w:lineRule="auto"/>
              <w:rPr>
                <w:rFonts w:ascii="Calibri" w:eastAsia="Calibri" w:hAnsi="Calibri" w:cs="Times New Roman"/>
              </w:rPr>
            </w:pPr>
          </w:p>
        </w:tc>
      </w:tr>
      <w:tr w:rsidR="000D17AB" w:rsidRPr="000D17AB" w14:paraId="6E3CF8DB" w14:textId="77777777" w:rsidTr="000D17AB">
        <w:tc>
          <w:tcPr>
            <w:tcW w:w="5000" w:type="pct"/>
            <w:gridSpan w:val="3"/>
            <w:shd w:val="clear" w:color="auto" w:fill="F2F2F2"/>
            <w:vAlign w:val="center"/>
          </w:tcPr>
          <w:p w14:paraId="21023F2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Ekip Üyeliği</w:t>
            </w:r>
          </w:p>
        </w:tc>
      </w:tr>
      <w:tr w:rsidR="000D17AB" w:rsidRPr="000D17AB" w14:paraId="1548573E" w14:textId="77777777" w:rsidTr="000D17AB">
        <w:trPr>
          <w:trHeight w:val="680"/>
        </w:trPr>
        <w:tc>
          <w:tcPr>
            <w:tcW w:w="2422" w:type="pct"/>
            <w:vAlign w:val="center"/>
          </w:tcPr>
          <w:p w14:paraId="3423CCEA"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çalışanları ile ekip olarak çalışır.</w:t>
            </w:r>
          </w:p>
        </w:tc>
        <w:tc>
          <w:tcPr>
            <w:tcW w:w="1251" w:type="pct"/>
            <w:vAlign w:val="center"/>
          </w:tcPr>
          <w:p w14:paraId="5C79017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29398DD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20025A21" w14:textId="77777777" w:rsidR="000D17AB" w:rsidRPr="000D17AB" w:rsidRDefault="000D17AB" w:rsidP="000D17AB">
            <w:pPr>
              <w:spacing w:after="0" w:line="240" w:lineRule="auto"/>
              <w:rPr>
                <w:rFonts w:ascii="Calibri" w:eastAsia="Calibri" w:hAnsi="Calibri" w:cs="Times New Roman"/>
              </w:rPr>
            </w:pPr>
          </w:p>
        </w:tc>
      </w:tr>
      <w:tr w:rsidR="000D17AB" w:rsidRPr="000D17AB" w14:paraId="5A1211BE" w14:textId="77777777" w:rsidTr="000D17AB">
        <w:trPr>
          <w:trHeight w:val="680"/>
        </w:trPr>
        <w:tc>
          <w:tcPr>
            <w:tcW w:w="2422" w:type="pct"/>
            <w:vAlign w:val="center"/>
          </w:tcPr>
          <w:p w14:paraId="1347A24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Ekip içinde yanlış anlamaları önlemek, farklılıkları yönetmek ve çatışmaları gidermek için meslektaşları ve diğer sağlık çalışanlarıyla birlikte, etiğe uygun çalışır.</w:t>
            </w:r>
          </w:p>
        </w:tc>
        <w:tc>
          <w:tcPr>
            <w:tcW w:w="1251" w:type="pct"/>
            <w:vAlign w:val="center"/>
          </w:tcPr>
          <w:p w14:paraId="3E29D6A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61BF850" w14:textId="77777777" w:rsidR="000D17AB" w:rsidRPr="000D17AB" w:rsidRDefault="000D17AB" w:rsidP="000D17AB">
            <w:pPr>
              <w:spacing w:after="0" w:line="240" w:lineRule="auto"/>
              <w:rPr>
                <w:rFonts w:ascii="Calibri" w:eastAsia="Calibri" w:hAnsi="Calibri" w:cs="Times New Roman"/>
              </w:rPr>
            </w:pPr>
          </w:p>
        </w:tc>
      </w:tr>
      <w:tr w:rsidR="000D17AB" w:rsidRPr="000D17AB" w14:paraId="629E93DF" w14:textId="77777777" w:rsidTr="000D17AB">
        <w:trPr>
          <w:trHeight w:val="680"/>
        </w:trPr>
        <w:tc>
          <w:tcPr>
            <w:tcW w:w="2422" w:type="pct"/>
            <w:vAlign w:val="center"/>
          </w:tcPr>
          <w:p w14:paraId="023F897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bakımını gerektiğinde etkili ve güvenli bir şekilde devreder.</w:t>
            </w:r>
          </w:p>
        </w:tc>
        <w:tc>
          <w:tcPr>
            <w:tcW w:w="1251" w:type="pct"/>
            <w:vAlign w:val="center"/>
          </w:tcPr>
          <w:p w14:paraId="5A89026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552E0C66" w14:textId="77777777" w:rsidR="000D17AB" w:rsidRPr="000D17AB" w:rsidRDefault="000D17AB" w:rsidP="000D17AB">
            <w:pPr>
              <w:spacing w:after="0" w:line="240" w:lineRule="auto"/>
              <w:rPr>
                <w:rFonts w:ascii="Calibri" w:eastAsia="Calibri" w:hAnsi="Calibri" w:cs="Times New Roman"/>
              </w:rPr>
            </w:pPr>
          </w:p>
        </w:tc>
      </w:tr>
      <w:tr w:rsidR="000D17AB" w:rsidRPr="000D17AB" w14:paraId="0AD41110" w14:textId="77777777" w:rsidTr="000D17AB">
        <w:tc>
          <w:tcPr>
            <w:tcW w:w="5000" w:type="pct"/>
            <w:gridSpan w:val="3"/>
            <w:shd w:val="clear" w:color="auto" w:fill="F2F2F2"/>
            <w:vAlign w:val="center"/>
          </w:tcPr>
          <w:p w14:paraId="789BC4A6"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Liderlik</w:t>
            </w:r>
          </w:p>
        </w:tc>
      </w:tr>
      <w:tr w:rsidR="000D17AB" w:rsidRPr="000D17AB" w14:paraId="19621AE7" w14:textId="77777777" w:rsidTr="000D17AB">
        <w:trPr>
          <w:trHeight w:val="680"/>
        </w:trPr>
        <w:tc>
          <w:tcPr>
            <w:tcW w:w="2422" w:type="pct"/>
            <w:vAlign w:val="center"/>
          </w:tcPr>
          <w:p w14:paraId="049F56ED"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Bireysel ve mesleki yeterliklerini değerlendirir ve geliştirir</w:t>
            </w:r>
          </w:p>
        </w:tc>
        <w:tc>
          <w:tcPr>
            <w:tcW w:w="1251" w:type="pct"/>
            <w:vAlign w:val="center"/>
          </w:tcPr>
          <w:p w14:paraId="6FD679D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20D32B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1F5EF823" w14:textId="77777777" w:rsidR="000D17AB" w:rsidRPr="000D17AB" w:rsidRDefault="000D17AB" w:rsidP="000D17AB">
            <w:pPr>
              <w:spacing w:after="0" w:line="240" w:lineRule="auto"/>
              <w:rPr>
                <w:rFonts w:ascii="Calibri" w:eastAsia="Calibri" w:hAnsi="Calibri" w:cs="Times New Roman"/>
              </w:rPr>
            </w:pPr>
          </w:p>
        </w:tc>
      </w:tr>
      <w:tr w:rsidR="000D17AB" w:rsidRPr="000D17AB" w14:paraId="4439F7F7" w14:textId="77777777" w:rsidTr="000D17AB">
        <w:tc>
          <w:tcPr>
            <w:tcW w:w="5000" w:type="pct"/>
            <w:gridSpan w:val="3"/>
            <w:shd w:val="clear" w:color="auto" w:fill="F2F2F2"/>
            <w:vAlign w:val="center"/>
          </w:tcPr>
          <w:p w14:paraId="63AECEA2"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Sağlık Savunucusu</w:t>
            </w:r>
          </w:p>
        </w:tc>
      </w:tr>
      <w:tr w:rsidR="000D17AB" w:rsidRPr="000D17AB" w14:paraId="60D4980F" w14:textId="77777777" w:rsidTr="000D17AB">
        <w:tc>
          <w:tcPr>
            <w:tcW w:w="2422" w:type="pct"/>
            <w:vAlign w:val="center"/>
          </w:tcPr>
          <w:p w14:paraId="7EEA93C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 xml:space="preserve">Bireysel ve toplumsal düzeyde sağlığa etki eden biyolojik, psikolojik, sosyal, kültürel ve ekonomik faktörleri belirler ve izler. </w:t>
            </w:r>
          </w:p>
        </w:tc>
        <w:tc>
          <w:tcPr>
            <w:tcW w:w="1251" w:type="pct"/>
            <w:vAlign w:val="center"/>
          </w:tcPr>
          <w:p w14:paraId="0833F2F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BFDA8A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5D3BF937" w14:textId="77777777" w:rsidR="000D17AB" w:rsidRPr="000D17AB" w:rsidRDefault="000D17AB" w:rsidP="000D17AB">
            <w:pPr>
              <w:spacing w:after="0" w:line="240" w:lineRule="auto"/>
              <w:rPr>
                <w:rFonts w:ascii="Calibri" w:eastAsia="Calibri" w:hAnsi="Calibri" w:cs="Times New Roman"/>
              </w:rPr>
            </w:pPr>
          </w:p>
        </w:tc>
      </w:tr>
      <w:tr w:rsidR="000D17AB" w:rsidRPr="000D17AB" w14:paraId="4801F57E" w14:textId="77777777" w:rsidTr="000D17AB">
        <w:tc>
          <w:tcPr>
            <w:tcW w:w="2422" w:type="pct"/>
            <w:vAlign w:val="center"/>
          </w:tcPr>
          <w:p w14:paraId="56DA529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Tüm sağlık bakım süreçlerinde sağlığın korunması, geliştirilmesi ve hastalıkların önlenmesi yaklaşımına öncelik verir ve aktif rol üstlenir.</w:t>
            </w:r>
          </w:p>
        </w:tc>
        <w:tc>
          <w:tcPr>
            <w:tcW w:w="1251" w:type="pct"/>
            <w:vAlign w:val="center"/>
          </w:tcPr>
          <w:p w14:paraId="109E335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0250A1E" w14:textId="77777777" w:rsidR="000D17AB" w:rsidRPr="000D17AB" w:rsidRDefault="000D17AB" w:rsidP="000D17AB">
            <w:pPr>
              <w:spacing w:after="0" w:line="240" w:lineRule="auto"/>
              <w:rPr>
                <w:rFonts w:ascii="Calibri" w:eastAsia="Calibri" w:hAnsi="Calibri" w:cs="Times New Roman"/>
              </w:rPr>
            </w:pPr>
          </w:p>
        </w:tc>
      </w:tr>
      <w:tr w:rsidR="000D17AB" w:rsidRPr="000D17AB" w14:paraId="7241FFEB" w14:textId="77777777" w:rsidTr="000D17AB">
        <w:tc>
          <w:tcPr>
            <w:tcW w:w="5000" w:type="pct"/>
            <w:gridSpan w:val="3"/>
            <w:shd w:val="clear" w:color="auto" w:fill="F2F2F2"/>
            <w:vAlign w:val="center"/>
          </w:tcPr>
          <w:p w14:paraId="0E33BF6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Bilimsellik</w:t>
            </w:r>
          </w:p>
        </w:tc>
      </w:tr>
      <w:tr w:rsidR="000D17AB" w:rsidRPr="000D17AB" w14:paraId="5568C62D" w14:textId="77777777" w:rsidTr="000D17AB">
        <w:trPr>
          <w:trHeight w:val="680"/>
        </w:trPr>
        <w:tc>
          <w:tcPr>
            <w:tcW w:w="2422" w:type="pct"/>
            <w:vAlign w:val="center"/>
          </w:tcPr>
          <w:p w14:paraId="6903DB19"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lastRenderedPageBreak/>
              <w:t>Sürekli öğrenme yoluyla mesleki performansını geliştirir, araştırmacı kişilik sergiler.</w:t>
            </w:r>
          </w:p>
        </w:tc>
        <w:tc>
          <w:tcPr>
            <w:tcW w:w="1251" w:type="pct"/>
            <w:vAlign w:val="center"/>
          </w:tcPr>
          <w:p w14:paraId="53F92A5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8D9564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p w14:paraId="64CF5DA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Sunum</w:t>
            </w:r>
          </w:p>
        </w:tc>
        <w:tc>
          <w:tcPr>
            <w:tcW w:w="1326" w:type="pct"/>
            <w:vAlign w:val="center"/>
          </w:tcPr>
          <w:p w14:paraId="024969B4" w14:textId="77777777" w:rsidR="000D17AB" w:rsidRPr="000D17AB" w:rsidRDefault="000D17AB" w:rsidP="000D17AB">
            <w:pPr>
              <w:spacing w:after="0" w:line="240" w:lineRule="auto"/>
              <w:rPr>
                <w:rFonts w:ascii="Calibri" w:eastAsia="Calibri" w:hAnsi="Calibri" w:cs="Times New Roman"/>
              </w:rPr>
            </w:pPr>
          </w:p>
        </w:tc>
      </w:tr>
      <w:tr w:rsidR="000D17AB" w:rsidRPr="000D17AB" w14:paraId="3685B5E3" w14:textId="77777777" w:rsidTr="000D17AB">
        <w:trPr>
          <w:trHeight w:val="680"/>
        </w:trPr>
        <w:tc>
          <w:tcPr>
            <w:tcW w:w="2422" w:type="pct"/>
            <w:vAlign w:val="center"/>
          </w:tcPr>
          <w:p w14:paraId="2F87978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uygulamalarında var olan en iyi kanıtları toplar ve karar verme süreçlerinde kullanır.</w:t>
            </w:r>
          </w:p>
        </w:tc>
        <w:tc>
          <w:tcPr>
            <w:tcW w:w="1251" w:type="pct"/>
            <w:vAlign w:val="center"/>
          </w:tcPr>
          <w:p w14:paraId="7FCBCA3C" w14:textId="77777777" w:rsidR="000D17AB" w:rsidRPr="000D17AB" w:rsidRDefault="000D17AB" w:rsidP="000D17AB">
            <w:pPr>
              <w:spacing w:after="0" w:line="240" w:lineRule="auto"/>
              <w:jc w:val="center"/>
              <w:rPr>
                <w:rFonts w:ascii="Calibri" w:eastAsia="Calibri" w:hAnsi="Calibri" w:cs="Times New Roman"/>
              </w:rPr>
            </w:pPr>
          </w:p>
        </w:tc>
        <w:tc>
          <w:tcPr>
            <w:tcW w:w="1326" w:type="pct"/>
            <w:vAlign w:val="center"/>
          </w:tcPr>
          <w:p w14:paraId="481A5D9A" w14:textId="77777777" w:rsidR="000D17AB" w:rsidRPr="000D17AB" w:rsidRDefault="000D17AB" w:rsidP="000D17AB">
            <w:pPr>
              <w:spacing w:after="0" w:line="240" w:lineRule="auto"/>
              <w:rPr>
                <w:rFonts w:ascii="Calibri" w:eastAsia="Calibri" w:hAnsi="Calibri" w:cs="Times New Roman"/>
              </w:rPr>
            </w:pPr>
          </w:p>
        </w:tc>
      </w:tr>
      <w:tr w:rsidR="000D17AB" w:rsidRPr="000D17AB" w14:paraId="361F4F5E" w14:textId="77777777" w:rsidTr="000D17AB">
        <w:trPr>
          <w:trHeight w:val="680"/>
        </w:trPr>
        <w:tc>
          <w:tcPr>
            <w:tcW w:w="2422" w:type="pct"/>
            <w:vAlign w:val="center"/>
          </w:tcPr>
          <w:p w14:paraId="429F903E"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Sağlıkla ilgili araştırma ve literatürün doğruluğunu, güvenirliliğini ve uygulanabilirliğini değerlendirir.</w:t>
            </w:r>
          </w:p>
        </w:tc>
        <w:tc>
          <w:tcPr>
            <w:tcW w:w="1251" w:type="pct"/>
            <w:vAlign w:val="center"/>
          </w:tcPr>
          <w:p w14:paraId="7E6D7F0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vAlign w:val="center"/>
          </w:tcPr>
          <w:p w14:paraId="49AE1318" w14:textId="77777777" w:rsidR="000D17AB" w:rsidRPr="000D17AB" w:rsidRDefault="000D17AB" w:rsidP="000D17AB">
            <w:pPr>
              <w:spacing w:after="0" w:line="240" w:lineRule="auto"/>
              <w:rPr>
                <w:rFonts w:ascii="Calibri" w:eastAsia="Calibri" w:hAnsi="Calibri" w:cs="Times New Roman"/>
              </w:rPr>
            </w:pPr>
          </w:p>
        </w:tc>
      </w:tr>
      <w:tr w:rsidR="000D17AB" w:rsidRPr="000D17AB" w14:paraId="00D93006" w14:textId="77777777" w:rsidTr="000D17AB">
        <w:tc>
          <w:tcPr>
            <w:tcW w:w="5000" w:type="pct"/>
            <w:gridSpan w:val="3"/>
            <w:shd w:val="clear" w:color="auto" w:fill="F2F2F2"/>
            <w:vAlign w:val="center"/>
          </w:tcPr>
          <w:p w14:paraId="6A34A635"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Profesyonellik</w:t>
            </w:r>
          </w:p>
        </w:tc>
      </w:tr>
      <w:tr w:rsidR="000D17AB" w:rsidRPr="000D17AB" w14:paraId="6488D7E0" w14:textId="77777777" w:rsidTr="000D17AB">
        <w:trPr>
          <w:trHeight w:val="971"/>
        </w:trPr>
        <w:tc>
          <w:tcPr>
            <w:tcW w:w="2422" w:type="pct"/>
            <w:vAlign w:val="center"/>
          </w:tcPr>
          <w:p w14:paraId="271417D2"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Mesleki uygulamalarını etik ilkelere ve değerlere bağlı kalarak uygular</w:t>
            </w:r>
          </w:p>
        </w:tc>
        <w:tc>
          <w:tcPr>
            <w:tcW w:w="1251" w:type="pct"/>
            <w:vAlign w:val="center"/>
          </w:tcPr>
          <w:p w14:paraId="48E28B4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3605629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7A51E52" w14:textId="77777777" w:rsidR="000D17AB" w:rsidRPr="000D17AB" w:rsidRDefault="000D17AB" w:rsidP="000D17AB">
            <w:pPr>
              <w:spacing w:after="0" w:line="240" w:lineRule="auto"/>
              <w:rPr>
                <w:rFonts w:ascii="Calibri" w:eastAsia="Calibri" w:hAnsi="Calibri" w:cs="Times New Roman"/>
              </w:rPr>
            </w:pPr>
          </w:p>
        </w:tc>
      </w:tr>
      <w:tr w:rsidR="000D17AB" w:rsidRPr="000D17AB" w14:paraId="428934FF" w14:textId="77777777" w:rsidTr="000D17AB">
        <w:tc>
          <w:tcPr>
            <w:tcW w:w="2422" w:type="pct"/>
          </w:tcPr>
          <w:p w14:paraId="70CE8D0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ve etik ilkelere, uygulama standartlarına ve ilgili mevzuata uygun davranır ve etik dışı davranışlara tepki gösterir</w:t>
            </w:r>
          </w:p>
        </w:tc>
        <w:tc>
          <w:tcPr>
            <w:tcW w:w="1251" w:type="pct"/>
            <w:vAlign w:val="center"/>
          </w:tcPr>
          <w:p w14:paraId="3F0551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4A232D2F" w14:textId="77777777" w:rsidR="000D17AB" w:rsidRPr="000D17AB" w:rsidRDefault="000D17AB" w:rsidP="000D17AB">
            <w:pPr>
              <w:spacing w:after="0" w:line="240" w:lineRule="auto"/>
              <w:rPr>
                <w:rFonts w:ascii="Calibri" w:eastAsia="Calibri" w:hAnsi="Calibri" w:cs="Times New Roman"/>
              </w:rPr>
            </w:pPr>
          </w:p>
        </w:tc>
      </w:tr>
    </w:tbl>
    <w:p w14:paraId="24C2FB12" w14:textId="77777777" w:rsidR="000D17AB" w:rsidRPr="000D17AB" w:rsidRDefault="000D17AB" w:rsidP="000D17AB">
      <w:pPr>
        <w:spacing w:after="0" w:line="240" w:lineRule="auto"/>
        <w:rPr>
          <w:rFonts w:ascii="Times New Roman" w:eastAsia="Calibri" w:hAnsi="Times New Roman" w:cs="Times New Roman"/>
        </w:rPr>
      </w:pPr>
    </w:p>
    <w:sectPr w:rsidR="000D17AB" w:rsidRP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4C8B" w14:textId="77777777" w:rsidR="002A4F19" w:rsidRDefault="002A4F19" w:rsidP="002A445D">
      <w:pPr>
        <w:spacing w:after="0" w:line="240" w:lineRule="auto"/>
      </w:pPr>
      <w:r>
        <w:separator/>
      </w:r>
    </w:p>
  </w:endnote>
  <w:endnote w:type="continuationSeparator" w:id="0">
    <w:p w14:paraId="3016FD83" w14:textId="77777777" w:rsidR="002A4F19" w:rsidRDefault="002A4F19"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CC98" w14:textId="77777777" w:rsidR="002A4F19" w:rsidRDefault="002A4F19" w:rsidP="002A445D">
      <w:pPr>
        <w:spacing w:after="0" w:line="240" w:lineRule="auto"/>
      </w:pPr>
      <w:r>
        <w:separator/>
      </w:r>
    </w:p>
  </w:footnote>
  <w:footnote w:type="continuationSeparator" w:id="0">
    <w:p w14:paraId="2DD6B3DC" w14:textId="77777777" w:rsidR="002A4F19" w:rsidRDefault="002A4F19"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4C0BF4"/>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1B6488"/>
    <w:multiLevelType w:val="hybridMultilevel"/>
    <w:tmpl w:val="AB26776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394575"/>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C76A3D"/>
    <w:multiLevelType w:val="hybridMultilevel"/>
    <w:tmpl w:val="2886F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884275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5"/>
  </w:num>
  <w:num w:numId="5">
    <w:abstractNumId w:val="9"/>
  </w:num>
  <w:num w:numId="6">
    <w:abstractNumId w:val="0"/>
  </w:num>
  <w:num w:numId="7">
    <w:abstractNumId w:val="4"/>
  </w:num>
  <w:num w:numId="8">
    <w:abstractNumId w:val="8"/>
  </w:num>
  <w:num w:numId="9">
    <w:abstractNumId w:val="3"/>
  </w:num>
  <w:num w:numId="10">
    <w:abstractNumId w:val="1"/>
  </w:num>
  <w:num w:numId="11">
    <w:abstractNumId w:val="2"/>
  </w:num>
  <w:num w:numId="12">
    <w:abstractNumId w:val="7"/>
  </w:num>
  <w:num w:numId="13">
    <w:abstractNumId w:val="15"/>
  </w:num>
  <w:num w:numId="14">
    <w:abstractNumId w:val="12"/>
  </w:num>
  <w:num w:numId="15">
    <w:abstractNumId w:val="16"/>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50BAB"/>
    <w:rsid w:val="00090FDE"/>
    <w:rsid w:val="000B74BD"/>
    <w:rsid w:val="000C10EB"/>
    <w:rsid w:val="000C4D65"/>
    <w:rsid w:val="000D17AB"/>
    <w:rsid w:val="00150766"/>
    <w:rsid w:val="00151CFC"/>
    <w:rsid w:val="00156584"/>
    <w:rsid w:val="001A1ACA"/>
    <w:rsid w:val="001C5EA6"/>
    <w:rsid w:val="00217BD0"/>
    <w:rsid w:val="0022157D"/>
    <w:rsid w:val="0022208E"/>
    <w:rsid w:val="00240270"/>
    <w:rsid w:val="00241C2C"/>
    <w:rsid w:val="00245F50"/>
    <w:rsid w:val="002635FE"/>
    <w:rsid w:val="00276705"/>
    <w:rsid w:val="00285516"/>
    <w:rsid w:val="00285BAA"/>
    <w:rsid w:val="00290FBA"/>
    <w:rsid w:val="002A445D"/>
    <w:rsid w:val="002A4F19"/>
    <w:rsid w:val="002A5540"/>
    <w:rsid w:val="002A5575"/>
    <w:rsid w:val="002B31C9"/>
    <w:rsid w:val="003071E9"/>
    <w:rsid w:val="003079D6"/>
    <w:rsid w:val="00347523"/>
    <w:rsid w:val="00355220"/>
    <w:rsid w:val="003702C6"/>
    <w:rsid w:val="00391BF3"/>
    <w:rsid w:val="00392710"/>
    <w:rsid w:val="003A2AC9"/>
    <w:rsid w:val="00405D7C"/>
    <w:rsid w:val="00431BA5"/>
    <w:rsid w:val="004C4FC1"/>
    <w:rsid w:val="004C5C78"/>
    <w:rsid w:val="004F51EF"/>
    <w:rsid w:val="00504395"/>
    <w:rsid w:val="00526DB4"/>
    <w:rsid w:val="00537DF7"/>
    <w:rsid w:val="00543C28"/>
    <w:rsid w:val="005808D8"/>
    <w:rsid w:val="005A18C0"/>
    <w:rsid w:val="005C2851"/>
    <w:rsid w:val="005D1C8E"/>
    <w:rsid w:val="005E4688"/>
    <w:rsid w:val="005F455B"/>
    <w:rsid w:val="00621201"/>
    <w:rsid w:val="00670126"/>
    <w:rsid w:val="006B4939"/>
    <w:rsid w:val="006C0138"/>
    <w:rsid w:val="006C3F21"/>
    <w:rsid w:val="007002FA"/>
    <w:rsid w:val="00726BFC"/>
    <w:rsid w:val="00731390"/>
    <w:rsid w:val="00791036"/>
    <w:rsid w:val="007B5793"/>
    <w:rsid w:val="007D08CF"/>
    <w:rsid w:val="007D780D"/>
    <w:rsid w:val="007E6AE4"/>
    <w:rsid w:val="007E6CB5"/>
    <w:rsid w:val="008308D8"/>
    <w:rsid w:val="00833E92"/>
    <w:rsid w:val="00835522"/>
    <w:rsid w:val="008609B9"/>
    <w:rsid w:val="00860F48"/>
    <w:rsid w:val="008624D2"/>
    <w:rsid w:val="008A0AE5"/>
    <w:rsid w:val="008A1E63"/>
    <w:rsid w:val="008E5B5A"/>
    <w:rsid w:val="00940DC7"/>
    <w:rsid w:val="00975598"/>
    <w:rsid w:val="0099045D"/>
    <w:rsid w:val="009966DE"/>
    <w:rsid w:val="009D2C41"/>
    <w:rsid w:val="009E4703"/>
    <w:rsid w:val="009F2F7C"/>
    <w:rsid w:val="00A00C0F"/>
    <w:rsid w:val="00A56D5F"/>
    <w:rsid w:val="00A64FA3"/>
    <w:rsid w:val="00A7283E"/>
    <w:rsid w:val="00A77F90"/>
    <w:rsid w:val="00AB3C5F"/>
    <w:rsid w:val="00B1079C"/>
    <w:rsid w:val="00B1104B"/>
    <w:rsid w:val="00B26490"/>
    <w:rsid w:val="00B35E6F"/>
    <w:rsid w:val="00B41478"/>
    <w:rsid w:val="00B73527"/>
    <w:rsid w:val="00B96DA5"/>
    <w:rsid w:val="00BC47D1"/>
    <w:rsid w:val="00BD546F"/>
    <w:rsid w:val="00BE2231"/>
    <w:rsid w:val="00C14813"/>
    <w:rsid w:val="00C24188"/>
    <w:rsid w:val="00C424A0"/>
    <w:rsid w:val="00C60610"/>
    <w:rsid w:val="00CA2F69"/>
    <w:rsid w:val="00CB4C13"/>
    <w:rsid w:val="00CC1B2F"/>
    <w:rsid w:val="00CD31EE"/>
    <w:rsid w:val="00D27CCF"/>
    <w:rsid w:val="00D408C5"/>
    <w:rsid w:val="00D5562E"/>
    <w:rsid w:val="00DB7F60"/>
    <w:rsid w:val="00DE6AA4"/>
    <w:rsid w:val="00E163E9"/>
    <w:rsid w:val="00E26B84"/>
    <w:rsid w:val="00E47AFF"/>
    <w:rsid w:val="00E563DE"/>
    <w:rsid w:val="00E937DF"/>
    <w:rsid w:val="00EA27AE"/>
    <w:rsid w:val="00EA61C5"/>
    <w:rsid w:val="00EB1BE8"/>
    <w:rsid w:val="00EB562E"/>
    <w:rsid w:val="00EC5B4C"/>
    <w:rsid w:val="00F13310"/>
    <w:rsid w:val="00F21D8B"/>
    <w:rsid w:val="00F35241"/>
    <w:rsid w:val="00F3585F"/>
    <w:rsid w:val="00F45986"/>
    <w:rsid w:val="00F61D73"/>
    <w:rsid w:val="00F802A7"/>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Kpr">
    <w:name w:val="Hyperlink"/>
    <w:basedOn w:val="VarsaylanParagrafYazTipi"/>
    <w:uiPriority w:val="99"/>
    <w:unhideWhenUsed/>
    <w:rsid w:val="002B31C9"/>
    <w:rPr>
      <w:color w:val="0563C1" w:themeColor="hyperlink"/>
      <w:u w:val="single"/>
    </w:rPr>
  </w:style>
  <w:style w:type="character" w:styleId="zmlenmeyenBahsetme">
    <w:name w:val="Unresolved Mention"/>
    <w:basedOn w:val="VarsaylanParagrafYazTipi"/>
    <w:uiPriority w:val="99"/>
    <w:semiHidden/>
    <w:unhideWhenUsed/>
    <w:rsid w:val="002B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1654</Words>
  <Characters>9430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8</cp:revision>
  <dcterms:created xsi:type="dcterms:W3CDTF">2021-06-22T14:25:00Z</dcterms:created>
  <dcterms:modified xsi:type="dcterms:W3CDTF">2021-06-29T14:13:00Z</dcterms:modified>
</cp:coreProperties>
</file>