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734B1DAB"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4465BC">
              <w:rPr>
                <w:rFonts w:ascii="Arial" w:eastAsia="Times New Roman" w:hAnsi="Arial" w:cs="Arial"/>
                <w:color w:val="000000"/>
                <w:sz w:val="18"/>
                <w:szCs w:val="18"/>
                <w:lang w:eastAsia="tr-TR"/>
              </w:rPr>
              <w:t xml:space="preserve">Enfeksiyon </w:t>
            </w:r>
            <w:r w:rsidR="005E4688">
              <w:rPr>
                <w:rFonts w:ascii="Arial" w:eastAsia="Times New Roman" w:hAnsi="Arial" w:cs="Arial"/>
                <w:color w:val="000000"/>
                <w:sz w:val="18"/>
                <w:szCs w:val="18"/>
                <w:lang w:eastAsia="tr-TR"/>
              </w:rPr>
              <w:t xml:space="preserve">Hastalıkları </w:t>
            </w:r>
            <w:r w:rsidR="004465BC">
              <w:rPr>
                <w:rFonts w:ascii="Arial" w:eastAsia="Times New Roman" w:hAnsi="Arial" w:cs="Arial"/>
                <w:color w:val="000000"/>
                <w:sz w:val="18"/>
                <w:szCs w:val="18"/>
                <w:lang w:eastAsia="tr-TR"/>
              </w:rPr>
              <w:t xml:space="preserve">ve Klinik Mikrobiyoloji </w:t>
            </w:r>
            <w:r w:rsidR="007D08CF">
              <w:rPr>
                <w:rFonts w:ascii="Arial" w:eastAsia="Times New Roman" w:hAnsi="Arial" w:cs="Arial"/>
                <w:color w:val="000000"/>
                <w:sz w:val="18"/>
                <w:szCs w:val="18"/>
                <w:lang w:eastAsia="tr-TR"/>
              </w:rPr>
              <w:t>–</w:t>
            </w:r>
            <w:r w:rsidR="0044371B">
              <w:rPr>
                <w:rFonts w:ascii="Arial" w:eastAsia="Times New Roman" w:hAnsi="Arial" w:cs="Arial"/>
                <w:color w:val="000000"/>
                <w:sz w:val="18"/>
                <w:szCs w:val="18"/>
                <w:lang w:eastAsia="tr-TR"/>
              </w:rPr>
              <w:t xml:space="preserve"> TIP633</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0A66CAA6" w:rsidR="007E6CB5" w:rsidRPr="007E6CB5" w:rsidRDefault="00E563D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w:t>
            </w:r>
            <w:r w:rsidR="002B31C9">
              <w:rPr>
                <w:rFonts w:ascii="Arial" w:eastAsia="Times New Roman" w:hAnsi="Arial" w:cs="Arial"/>
                <w:color w:val="000000"/>
                <w:sz w:val="18"/>
                <w:szCs w:val="18"/>
                <w:lang w:eastAsia="tr-TR"/>
              </w:rPr>
              <w:t>0</w:t>
            </w:r>
          </w:p>
        </w:tc>
        <w:tc>
          <w:tcPr>
            <w:tcW w:w="1363" w:type="dxa"/>
            <w:noWrap/>
            <w:vAlign w:val="center"/>
            <w:hideMark/>
          </w:tcPr>
          <w:p w14:paraId="3E9C0346" w14:textId="508FCF43" w:rsidR="007E6CB5" w:rsidRPr="007E6CB5" w:rsidRDefault="00DF371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150</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2D2DD8A1" w:rsidR="007E6CB5" w:rsidRPr="007E6CB5" w:rsidRDefault="00DF371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790" w:type="dxa"/>
            <w:noWrap/>
            <w:vAlign w:val="center"/>
            <w:hideMark/>
          </w:tcPr>
          <w:p w14:paraId="0B8D73BB" w14:textId="6A670D7C" w:rsidR="007E6CB5" w:rsidRPr="007E6CB5" w:rsidRDefault="0087705E"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882" w:type="dxa"/>
            <w:noWrap/>
            <w:vAlign w:val="center"/>
            <w:hideMark/>
          </w:tcPr>
          <w:p w14:paraId="4C9D7372" w14:textId="597C7C22" w:rsidR="007E6CB5" w:rsidRPr="007E6CB5" w:rsidRDefault="00A77F9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7C6ED2B6" w:rsidR="007E6CB5" w:rsidRPr="00BE2231" w:rsidRDefault="00276705"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Seçmeli</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784CA1">
        <w:trPr>
          <w:trHeight w:val="2268"/>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390F82C2" w14:textId="697C4159" w:rsidR="00FB4ED2" w:rsidRDefault="00784CA1" w:rsidP="000B74BD">
            <w:pPr>
              <w:ind w:firstLine="708"/>
              <w:jc w:val="both"/>
            </w:pPr>
            <w:r w:rsidRPr="00784CA1">
              <w:t>Tıp fakültesi eğitim sürecinde edinilen bilgi, beceri ve tutumlar doğrultusunda Enfeksiyon Hastalıkları alanıyla ilgili, sık görülen hastalıkları ve sorunları, acil durumları birinci basamak düzeyinde yönetebilme yetkinliğini kazandırmaktır. Bu bağlamda izlem yapma, ön tanı ve/ya tanı koyma, tedavi etme, koruyucu önlemleri uygulama becerisi kazandırmaktır</w:t>
            </w:r>
            <w:r w:rsidR="008308D8" w:rsidRPr="008308D8">
              <w:t>.</w:t>
            </w:r>
          </w:p>
          <w:p w14:paraId="23181F93" w14:textId="1EB62F5B" w:rsidR="008A0AE5" w:rsidRPr="00A56D5F" w:rsidRDefault="008A0AE5" w:rsidP="006C0138">
            <w:pPr>
              <w:spacing w:before="240"/>
              <w:ind w:firstLine="708"/>
              <w:jc w:val="both"/>
            </w:pPr>
            <w:r>
              <w:t xml:space="preserve">Bu amaçla haftalık seminerler, viziteler sırasında konu anlatımı, poliklinik ve </w:t>
            </w:r>
            <w:r w:rsidR="00835522">
              <w:t xml:space="preserve">klinik </w:t>
            </w:r>
            <w:r>
              <w:t>hastalarında uzman gözetiminde uygulama yapılacaktır.</w:t>
            </w:r>
          </w:p>
        </w:tc>
      </w:tr>
      <w:tr w:rsidR="007E6CB5" w:rsidRPr="007E6CB5" w14:paraId="0A5ED2DB" w14:textId="77777777" w:rsidTr="00835522">
        <w:trPr>
          <w:trHeight w:val="692"/>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27E65912" w14:textId="77777777" w:rsidR="009A1EB8" w:rsidRPr="009A1EB8" w:rsidRDefault="009A1EB8" w:rsidP="009A1EB8">
            <w:pPr>
              <w:numPr>
                <w:ilvl w:val="0"/>
                <w:numId w:val="4"/>
              </w:numPr>
              <w:spacing w:before="240"/>
              <w:ind w:left="340" w:hanging="340"/>
              <w:contextualSpacing/>
              <w:jc w:val="both"/>
            </w:pPr>
            <w:r w:rsidRPr="009A1EB8">
              <w:t>Hikâye alma ve sistemik sorgulama yapabilmek. Hastanın özgeçmiş ve soy geçmişine erişmek. Bu konuda e-nabız vb. dijital ya da arşivlenmiş belgeleri inceleyebilmek.</w:t>
            </w:r>
          </w:p>
          <w:p w14:paraId="4AF3D949" w14:textId="77777777" w:rsidR="009A1EB8" w:rsidRPr="009A1EB8" w:rsidRDefault="009A1EB8" w:rsidP="009A1EB8">
            <w:pPr>
              <w:numPr>
                <w:ilvl w:val="0"/>
                <w:numId w:val="4"/>
              </w:numPr>
              <w:spacing w:before="240"/>
              <w:ind w:left="340" w:hanging="340"/>
              <w:contextualSpacing/>
              <w:jc w:val="both"/>
            </w:pPr>
            <w:r w:rsidRPr="009A1EB8">
              <w:t xml:space="preserve">Hastayı bütüncül değerlendirip hastanın hem şikâyete yönelik hem sistematik muayenelerini uygulamak. </w:t>
            </w:r>
          </w:p>
          <w:p w14:paraId="07E3A5E2" w14:textId="77777777" w:rsidR="009A1EB8" w:rsidRPr="009A1EB8" w:rsidRDefault="009A1EB8" w:rsidP="009A1EB8">
            <w:pPr>
              <w:numPr>
                <w:ilvl w:val="0"/>
                <w:numId w:val="4"/>
              </w:numPr>
              <w:spacing w:before="240"/>
              <w:ind w:left="340" w:hanging="340"/>
              <w:contextualSpacing/>
              <w:jc w:val="both"/>
            </w:pPr>
            <w:r w:rsidRPr="009A1EB8">
              <w:t>Hikâye ve fizik muayene ile elde ettiği verilere göre ön tanı(lar) oluşturmak ve tanıya yönelik tanısal testleri istemek ve sonuçlarını yorumlamak.</w:t>
            </w:r>
          </w:p>
          <w:p w14:paraId="435F72D8" w14:textId="77777777" w:rsidR="009A1EB8" w:rsidRPr="009A1EB8" w:rsidRDefault="009A1EB8" w:rsidP="009A1EB8">
            <w:pPr>
              <w:numPr>
                <w:ilvl w:val="0"/>
                <w:numId w:val="4"/>
              </w:numPr>
              <w:spacing w:before="240"/>
              <w:ind w:left="340" w:hanging="340"/>
              <w:contextualSpacing/>
              <w:jc w:val="both"/>
            </w:pPr>
            <w:r w:rsidRPr="009A1EB8">
              <w:t>Poliklinikte birinci basamak hekimlikte sık rastlanılan enfeksiyon hastalıklarıyla ilgili genel bilgileri yorumlayabilmek, ayaktan tedavi koşulları ve yatış endikasyonlarını değerlendirebilmek.</w:t>
            </w:r>
          </w:p>
          <w:p w14:paraId="3FC59499" w14:textId="77777777" w:rsidR="009A1EB8" w:rsidRPr="009A1EB8" w:rsidRDefault="009A1EB8" w:rsidP="009A1EB8">
            <w:pPr>
              <w:numPr>
                <w:ilvl w:val="0"/>
                <w:numId w:val="4"/>
              </w:numPr>
              <w:spacing w:before="240"/>
              <w:ind w:left="340" w:hanging="340"/>
              <w:contextualSpacing/>
              <w:jc w:val="both"/>
            </w:pPr>
            <w:r w:rsidRPr="009A1EB8">
              <w:t>Klinik viziteler ve konsültasyonlarda nedeni bilinmeyen ateş olguları, sepsis, akut viral hepatit, viral hemorajik ateş, AİDS, hastane enfeksiyonları, menenjit, ağır zatüre, selülit, piyelonefrit gibi yatış endikasyonu bulunan ağır enfeksiyonların klinik, radyolojik, laboratuvar bulgularını, takiplerini, tedavilerinin süre ve modifikasyonlarını değerlendirebilmek.</w:t>
            </w:r>
          </w:p>
          <w:p w14:paraId="19E27A0A" w14:textId="77777777" w:rsidR="009A1EB8" w:rsidRPr="009A1EB8" w:rsidRDefault="009A1EB8" w:rsidP="009A1EB8">
            <w:pPr>
              <w:numPr>
                <w:ilvl w:val="0"/>
                <w:numId w:val="4"/>
              </w:numPr>
              <w:spacing w:before="240"/>
              <w:ind w:left="340" w:hanging="340"/>
              <w:contextualSpacing/>
              <w:jc w:val="both"/>
            </w:pPr>
            <w:r w:rsidRPr="009A1EB8">
              <w:t>Klinik ve poliklinik çalışmaları sırasında ayaktan veya yatarak tedavi alan hastaların antibakteriyel, antiviral, antifungal ve diğer ilaç tedavilerini düzenlemeyi öğrenmek.</w:t>
            </w:r>
          </w:p>
          <w:p w14:paraId="20709DE9" w14:textId="77777777" w:rsidR="009A1EB8" w:rsidRPr="009A1EB8" w:rsidRDefault="009A1EB8" w:rsidP="009A1EB8">
            <w:pPr>
              <w:numPr>
                <w:ilvl w:val="0"/>
                <w:numId w:val="4"/>
              </w:numPr>
              <w:spacing w:before="240"/>
              <w:ind w:left="340" w:hanging="340"/>
              <w:contextualSpacing/>
              <w:jc w:val="both"/>
            </w:pPr>
            <w:r w:rsidRPr="009A1EB8">
              <w:t xml:space="preserve">Hastaların tıbbi kayıtlarını yazılı ve elektronik olarak uygun şekilde tutmak ve epikriz düzenlemek. </w:t>
            </w:r>
          </w:p>
          <w:p w14:paraId="1B66CA0A" w14:textId="77777777" w:rsidR="009A1EB8" w:rsidRPr="009A1EB8" w:rsidRDefault="009A1EB8" w:rsidP="009A1EB8">
            <w:pPr>
              <w:numPr>
                <w:ilvl w:val="0"/>
                <w:numId w:val="4"/>
              </w:numPr>
              <w:spacing w:before="240"/>
              <w:ind w:left="340" w:hanging="340"/>
              <w:contextualSpacing/>
              <w:jc w:val="both"/>
            </w:pPr>
            <w:r w:rsidRPr="009A1EB8">
              <w:t>Hastane enfeksiyonlarına yönelik kontrol önlemlerini benimsemek ve doğru şekilde uygulamak.</w:t>
            </w:r>
          </w:p>
          <w:p w14:paraId="4C44E700" w14:textId="58DDF3D3" w:rsidR="007E6CB5" w:rsidRPr="00BD546F" w:rsidRDefault="009A1EB8" w:rsidP="009A1EB8">
            <w:pPr>
              <w:numPr>
                <w:ilvl w:val="0"/>
                <w:numId w:val="4"/>
              </w:numPr>
              <w:spacing w:before="240"/>
              <w:ind w:left="340" w:hanging="340"/>
              <w:contextualSpacing/>
              <w:jc w:val="both"/>
            </w:pPr>
            <w:r w:rsidRPr="009A1EB8">
              <w:t>Hastalıklara yönelik gerekli koruyucu önlemleri (erişkin aşılama şemasını) öğrenmek.</w:t>
            </w:r>
          </w:p>
        </w:tc>
      </w:tr>
      <w:tr w:rsidR="007E6CB5" w:rsidRPr="007E6CB5" w14:paraId="5CCBCAA5" w14:textId="77777777" w:rsidTr="00EB562E">
        <w:trPr>
          <w:trHeight w:val="1127"/>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kitabı ve/veya kaynaklar</w:t>
            </w:r>
          </w:p>
        </w:tc>
        <w:tc>
          <w:tcPr>
            <w:tcW w:w="9117" w:type="dxa"/>
            <w:gridSpan w:val="9"/>
            <w:vAlign w:val="center"/>
            <w:hideMark/>
          </w:tcPr>
          <w:p w14:paraId="79877621" w14:textId="7F67C3F2" w:rsidR="007E6CB5" w:rsidRPr="008308D8" w:rsidRDefault="00637139" w:rsidP="00637139">
            <w:pPr>
              <w:numPr>
                <w:ilvl w:val="0"/>
                <w:numId w:val="3"/>
              </w:numPr>
              <w:ind w:left="340" w:hanging="340"/>
            </w:pPr>
            <w:r w:rsidRPr="00637139">
              <w:t>Enfeksiyon Hastalıkları ve Mikrobiyolojisi.  Editörler: Ayşe Willke Topçu, Güner Söyletir, Mehmet Doğanay (Nobel Tıp Kitabevi)</w:t>
            </w:r>
          </w:p>
        </w:tc>
      </w:tr>
      <w:tr w:rsidR="007E6CB5" w:rsidRPr="007E6CB5" w14:paraId="15F42446" w14:textId="77777777" w:rsidTr="000B74BD">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w:t>
            </w:r>
            <w:r w:rsidRPr="007E6CB5">
              <w:rPr>
                <w:rFonts w:ascii="Arial" w:eastAsia="Times New Roman" w:hAnsi="Arial" w:cs="Arial"/>
                <w:b/>
                <w:bCs/>
                <w:color w:val="000000"/>
                <w:sz w:val="20"/>
                <w:szCs w:val="20"/>
                <w:lang w:eastAsia="tr-TR"/>
              </w:rPr>
              <w:lastRenderedPageBreak/>
              <w:t>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lastRenderedPageBreak/>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 xml:space="preserve">ne katılım oranı 100 </w:t>
            </w:r>
            <w:r w:rsidR="00A56D5F">
              <w:rPr>
                <w:rFonts w:ascii="Arial" w:eastAsia="Times New Roman" w:hAnsi="Arial" w:cs="Arial"/>
                <w:b w:val="0"/>
                <w:color w:val="000000"/>
                <w:sz w:val="20"/>
                <w:szCs w:val="20"/>
                <w:lang w:eastAsia="tr-TR"/>
              </w:rPr>
              <w:lastRenderedPageBreak/>
              <w:t>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32EB0C9A" w14:textId="6A363735" w:rsidR="00A56D5F" w:rsidRPr="00A56D5F" w:rsidRDefault="00A56D5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sidRPr="00A56D5F">
              <w:rPr>
                <w:rFonts w:ascii="Arial" w:eastAsia="Times New Roman" w:hAnsi="Arial" w:cs="Arial"/>
                <w:b w:val="0"/>
                <w:color w:val="000000"/>
                <w:sz w:val="20"/>
                <w:szCs w:val="20"/>
                <w:lang w:eastAsia="tr-TR"/>
              </w:rPr>
              <w:t>İntern doktor, hekimlik etiğine uygun tutum ve davranış</w:t>
            </w:r>
            <w:r w:rsidR="00BD546F">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sidR="00BD546F">
              <w:rPr>
                <w:rFonts w:ascii="Arial" w:eastAsia="Times New Roman" w:hAnsi="Arial" w:cs="Arial"/>
                <w:b w:val="0"/>
                <w:color w:val="000000"/>
                <w:sz w:val="20"/>
                <w:szCs w:val="20"/>
                <w:lang w:eastAsia="tr-TR"/>
              </w:rPr>
              <w:t xml:space="preserve">1) </w:t>
            </w:r>
            <w:r w:rsidRPr="00A56D5F">
              <w:rPr>
                <w:rFonts w:ascii="Arial" w:eastAsia="Times New Roman" w:hAnsi="Arial" w:cs="Arial"/>
                <w:b w:val="0"/>
                <w:color w:val="000000"/>
                <w:sz w:val="20"/>
                <w:szCs w:val="20"/>
                <w:lang w:eastAsia="tr-TR"/>
              </w:rPr>
              <w:t xml:space="preserve">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w:t>
            </w:r>
            <w:r w:rsidR="006C0138">
              <w:rPr>
                <w:rFonts w:ascii="Arial" w:eastAsia="Times New Roman" w:hAnsi="Arial" w:cs="Arial"/>
                <w:b w:val="0"/>
                <w:color w:val="000000"/>
                <w:sz w:val="20"/>
                <w:szCs w:val="20"/>
                <w:lang w:eastAsia="tr-TR"/>
              </w:rPr>
              <w:t>puan üzerinden değerlendiri</w:t>
            </w:r>
            <w:r w:rsidR="005A18C0">
              <w:rPr>
                <w:rFonts w:ascii="Arial" w:eastAsia="Times New Roman" w:hAnsi="Arial" w:cs="Arial"/>
                <w:b w:val="0"/>
                <w:color w:val="000000"/>
                <w:sz w:val="20"/>
                <w:szCs w:val="20"/>
                <w:lang w:eastAsia="tr-TR"/>
              </w:rPr>
              <w:t>lecektir</w:t>
            </w:r>
            <w:r w:rsidRPr="00A56D5F">
              <w:rPr>
                <w:rFonts w:ascii="Arial" w:eastAsia="Times New Roman" w:hAnsi="Arial" w:cs="Arial"/>
                <w:b w:val="0"/>
                <w:color w:val="000000"/>
                <w:sz w:val="20"/>
                <w:szCs w:val="20"/>
                <w:lang w:eastAsia="tr-TR"/>
              </w:rPr>
              <w:t>.</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0B74BD">
        <w:trPr>
          <w:trHeight w:val="5621"/>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vAlign w:val="center"/>
          </w:tcPr>
          <w:p w14:paraId="1F8BBBBC" w14:textId="1BF6F3C2" w:rsidR="004C5C78" w:rsidRPr="00C60610" w:rsidRDefault="006114F7" w:rsidP="008E5B5A">
            <w:pPr>
              <w:rPr>
                <w:rFonts w:ascii="Arial" w:eastAsia="Times New Roman" w:hAnsi="Arial" w:cs="Arial"/>
                <w:bCs/>
                <w:color w:val="000000"/>
                <w:sz w:val="20"/>
                <w:szCs w:val="20"/>
                <w:lang w:eastAsia="tr-TR"/>
              </w:rPr>
            </w:pPr>
            <w:r w:rsidRPr="006114F7">
              <w:rPr>
                <w:rFonts w:ascii="Arial" w:eastAsia="Times New Roman" w:hAnsi="Arial" w:cs="Arial"/>
                <w:bCs/>
                <w:color w:val="000000"/>
                <w:sz w:val="20"/>
                <w:szCs w:val="20"/>
                <w:lang w:eastAsia="tr-TR"/>
              </w:rPr>
              <w:t>Uzman Doktor Nejla YILMAZ</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hideMark/>
          </w:tcPr>
          <w:p w14:paraId="03F01DBE" w14:textId="2095C81F"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2DB1A2D8" w14:textId="69E714DE"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02C5E1B6"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2CF37113"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1DCF52C6"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DF371E">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tcPr>
          <w:p w14:paraId="1DEC10BE" w14:textId="522DB17D" w:rsidR="007E6CB5" w:rsidRPr="007E6CB5" w:rsidRDefault="00DF371E"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tcPr>
          <w:p w14:paraId="044B06FE" w14:textId="3DFEE67C" w:rsidR="007E6CB5" w:rsidRPr="007E6CB5" w:rsidRDefault="00DF371E"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tcPr>
          <w:p w14:paraId="4D57FA11" w14:textId="76DCEB93" w:rsidR="007E6CB5" w:rsidRPr="007E6CB5" w:rsidRDefault="00DF371E"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6E4371E2" w:rsidR="007E6CB5" w:rsidRPr="00E937DF" w:rsidRDefault="00DF371E"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7C4B92A0" w:rsidR="007E6CB5" w:rsidRPr="00E937DF" w:rsidRDefault="00DF371E"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5,3</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238F4C1C"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17CF5646" w14:textId="77777777" w:rsidTr="00FC79C2">
        <w:trPr>
          <w:trHeight w:val="567"/>
          <w:jc w:val="center"/>
        </w:trPr>
        <w:tc>
          <w:tcPr>
            <w:tcW w:w="1339" w:type="dxa"/>
            <w:noWrap/>
            <w:vAlign w:val="center"/>
          </w:tcPr>
          <w:p w14:paraId="65D9E94C" w14:textId="082D726E"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8235" w:type="dxa"/>
            <w:gridSpan w:val="8"/>
            <w:noWrap/>
            <w:vAlign w:val="center"/>
          </w:tcPr>
          <w:p w14:paraId="73D7FB19" w14:textId="528BA5E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tutum ve davranışları sergileme</w:t>
            </w:r>
          </w:p>
        </w:tc>
        <w:tc>
          <w:tcPr>
            <w:tcW w:w="882" w:type="dxa"/>
            <w:noWrap/>
            <w:vAlign w:val="center"/>
          </w:tcPr>
          <w:p w14:paraId="3FC8DCE7" w14:textId="526759E4"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3765354F" w14:textId="6034C653" w:rsidR="00543C28" w:rsidRPr="000D17AB" w:rsidRDefault="000D17AB" w:rsidP="00543C28">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w:t>
      </w:r>
      <w:r w:rsidR="00543C28" w:rsidRPr="000D17AB">
        <w:rPr>
          <w:rFonts w:ascii="Calibri" w:eastAsia="Calibri" w:hAnsi="Calibri" w:cs="Times New Roman"/>
        </w:rPr>
        <w:t>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3446"/>
        <w:gridCol w:w="2578"/>
      </w:tblGrid>
      <w:tr w:rsidR="00637139" w:rsidRPr="00BA7902" w14:paraId="250DEDEE" w14:textId="77777777" w:rsidTr="00637139">
        <w:trPr>
          <w:trHeight w:val="397"/>
        </w:trPr>
        <w:tc>
          <w:tcPr>
            <w:tcW w:w="2266" w:type="pct"/>
            <w:vAlign w:val="center"/>
          </w:tcPr>
          <w:p w14:paraId="048EA3D7" w14:textId="77777777" w:rsidR="00637139" w:rsidRPr="00BA7902" w:rsidRDefault="00637139" w:rsidP="00F2104E">
            <w:pPr>
              <w:spacing w:after="0" w:line="240" w:lineRule="auto"/>
              <w:rPr>
                <w:b/>
                <w:bCs/>
              </w:rPr>
            </w:pPr>
            <w:r w:rsidRPr="00BA7902">
              <w:rPr>
                <w:b/>
                <w:bCs/>
              </w:rPr>
              <w:t>Eğitim Etkinliğinin Adı</w:t>
            </w:r>
          </w:p>
        </w:tc>
        <w:tc>
          <w:tcPr>
            <w:tcW w:w="1564" w:type="pct"/>
            <w:vAlign w:val="center"/>
          </w:tcPr>
          <w:p w14:paraId="6F302B7F" w14:textId="77777777" w:rsidR="00637139" w:rsidRPr="00BA7902" w:rsidRDefault="00637139" w:rsidP="00F2104E">
            <w:pPr>
              <w:spacing w:after="0" w:line="240" w:lineRule="auto"/>
              <w:jc w:val="center"/>
              <w:rPr>
                <w:b/>
                <w:bCs/>
              </w:rPr>
            </w:pPr>
            <w:r w:rsidRPr="00BA7902">
              <w:rPr>
                <w:b/>
                <w:bCs/>
              </w:rPr>
              <w:t>Öğrenme Yöntemi</w:t>
            </w:r>
          </w:p>
        </w:tc>
        <w:tc>
          <w:tcPr>
            <w:tcW w:w="1170" w:type="pct"/>
            <w:vAlign w:val="center"/>
          </w:tcPr>
          <w:p w14:paraId="2601906A" w14:textId="77777777" w:rsidR="00637139" w:rsidRPr="00BA7902" w:rsidRDefault="00637139" w:rsidP="00F2104E">
            <w:pPr>
              <w:spacing w:after="0" w:line="240" w:lineRule="auto"/>
              <w:jc w:val="center"/>
              <w:rPr>
                <w:b/>
                <w:bCs/>
              </w:rPr>
            </w:pPr>
            <w:r w:rsidRPr="00BA7902">
              <w:rPr>
                <w:b/>
                <w:bCs/>
              </w:rPr>
              <w:t>Uzman Onayı</w:t>
            </w:r>
          </w:p>
        </w:tc>
      </w:tr>
      <w:tr w:rsidR="00637139" w:rsidRPr="00BA7902" w14:paraId="144EA28C" w14:textId="77777777" w:rsidTr="00637139">
        <w:trPr>
          <w:trHeight w:val="567"/>
        </w:trPr>
        <w:tc>
          <w:tcPr>
            <w:tcW w:w="2266" w:type="pct"/>
            <w:vAlign w:val="center"/>
          </w:tcPr>
          <w:p w14:paraId="226D7883" w14:textId="77777777" w:rsidR="00637139" w:rsidRPr="00BA7902" w:rsidRDefault="00637139" w:rsidP="00F2104E">
            <w:pPr>
              <w:spacing w:after="0" w:line="240" w:lineRule="auto"/>
            </w:pPr>
            <w:r w:rsidRPr="003317DA">
              <w:t>Nedeni Bilinmeyen Ateş</w:t>
            </w:r>
          </w:p>
        </w:tc>
        <w:tc>
          <w:tcPr>
            <w:tcW w:w="1564" w:type="pct"/>
            <w:vAlign w:val="center"/>
          </w:tcPr>
          <w:p w14:paraId="5CB50424" w14:textId="77777777" w:rsidR="00637139" w:rsidRPr="00BA7902" w:rsidRDefault="00637139" w:rsidP="00F2104E">
            <w:pPr>
              <w:spacing w:after="0" w:line="240" w:lineRule="auto"/>
              <w:jc w:val="center"/>
            </w:pPr>
            <w:r w:rsidRPr="003317DA">
              <w:t>Olgu tartışması, İnteraktif tartışma</w:t>
            </w:r>
          </w:p>
        </w:tc>
        <w:tc>
          <w:tcPr>
            <w:tcW w:w="1170" w:type="pct"/>
            <w:vAlign w:val="center"/>
          </w:tcPr>
          <w:p w14:paraId="276CCF04" w14:textId="77777777" w:rsidR="00637139" w:rsidRPr="00BA7902" w:rsidRDefault="00637139" w:rsidP="00F2104E">
            <w:pPr>
              <w:spacing w:after="0" w:line="240" w:lineRule="auto"/>
              <w:jc w:val="center"/>
            </w:pPr>
          </w:p>
        </w:tc>
      </w:tr>
      <w:tr w:rsidR="00637139" w:rsidRPr="00BA7902" w14:paraId="04E82E7C" w14:textId="77777777" w:rsidTr="00637139">
        <w:trPr>
          <w:trHeight w:val="567"/>
        </w:trPr>
        <w:tc>
          <w:tcPr>
            <w:tcW w:w="2266" w:type="pct"/>
            <w:vAlign w:val="center"/>
          </w:tcPr>
          <w:p w14:paraId="27BEA363" w14:textId="77777777" w:rsidR="00637139" w:rsidRPr="00BA7902" w:rsidRDefault="00637139" w:rsidP="00F2104E">
            <w:pPr>
              <w:spacing w:after="0" w:line="240" w:lineRule="auto"/>
            </w:pPr>
            <w:r w:rsidRPr="003317DA">
              <w:t>SSS Enfeksiyonlarına Yaklaşım</w:t>
            </w:r>
          </w:p>
        </w:tc>
        <w:tc>
          <w:tcPr>
            <w:tcW w:w="1564" w:type="pct"/>
            <w:vAlign w:val="center"/>
          </w:tcPr>
          <w:p w14:paraId="578ECE3A" w14:textId="77777777" w:rsidR="00637139" w:rsidRPr="00BA7902" w:rsidRDefault="00637139" w:rsidP="00F2104E">
            <w:pPr>
              <w:spacing w:after="0" w:line="240" w:lineRule="auto"/>
              <w:jc w:val="center"/>
            </w:pPr>
            <w:r w:rsidRPr="003317DA">
              <w:t>Olgu tartışması</w:t>
            </w:r>
          </w:p>
        </w:tc>
        <w:tc>
          <w:tcPr>
            <w:tcW w:w="1170" w:type="pct"/>
            <w:vAlign w:val="center"/>
          </w:tcPr>
          <w:p w14:paraId="1C8A68EE" w14:textId="77777777" w:rsidR="00637139" w:rsidRPr="00BA7902" w:rsidRDefault="00637139" w:rsidP="00F2104E">
            <w:pPr>
              <w:spacing w:after="0" w:line="240" w:lineRule="auto"/>
              <w:jc w:val="center"/>
            </w:pPr>
          </w:p>
        </w:tc>
      </w:tr>
      <w:tr w:rsidR="00637139" w:rsidRPr="00BA7902" w14:paraId="32BEBFB4" w14:textId="77777777" w:rsidTr="00637139">
        <w:trPr>
          <w:trHeight w:val="567"/>
        </w:trPr>
        <w:tc>
          <w:tcPr>
            <w:tcW w:w="2266" w:type="pct"/>
            <w:vAlign w:val="center"/>
          </w:tcPr>
          <w:p w14:paraId="5A4BEB1D" w14:textId="77777777" w:rsidR="00637139" w:rsidRPr="00BA7902" w:rsidRDefault="00637139" w:rsidP="00F2104E">
            <w:pPr>
              <w:spacing w:after="0" w:line="240" w:lineRule="auto"/>
            </w:pPr>
            <w:r w:rsidRPr="003317DA">
              <w:t>Gastroenteritli Hastaya Yaklaşım</w:t>
            </w:r>
          </w:p>
        </w:tc>
        <w:tc>
          <w:tcPr>
            <w:tcW w:w="1564" w:type="pct"/>
            <w:vAlign w:val="center"/>
          </w:tcPr>
          <w:p w14:paraId="2D87ADD9" w14:textId="77777777" w:rsidR="00637139" w:rsidRPr="00BA7902" w:rsidRDefault="00637139" w:rsidP="00F2104E">
            <w:pPr>
              <w:spacing w:after="0" w:line="240" w:lineRule="auto"/>
              <w:jc w:val="center"/>
            </w:pPr>
            <w:r w:rsidRPr="003317DA">
              <w:t>Olgu tartışması, İnteraktif tartışma</w:t>
            </w:r>
          </w:p>
        </w:tc>
        <w:tc>
          <w:tcPr>
            <w:tcW w:w="1170" w:type="pct"/>
            <w:vAlign w:val="center"/>
          </w:tcPr>
          <w:p w14:paraId="49253067" w14:textId="77777777" w:rsidR="00637139" w:rsidRPr="00BA7902" w:rsidRDefault="00637139" w:rsidP="00F2104E">
            <w:pPr>
              <w:spacing w:after="0" w:line="240" w:lineRule="auto"/>
              <w:jc w:val="center"/>
            </w:pPr>
          </w:p>
        </w:tc>
      </w:tr>
      <w:tr w:rsidR="00637139" w:rsidRPr="00BA7902" w14:paraId="7DDB7550" w14:textId="77777777" w:rsidTr="00637139">
        <w:trPr>
          <w:trHeight w:val="567"/>
        </w:trPr>
        <w:tc>
          <w:tcPr>
            <w:tcW w:w="2266" w:type="pct"/>
            <w:vAlign w:val="center"/>
          </w:tcPr>
          <w:p w14:paraId="5ACD1F86" w14:textId="77777777" w:rsidR="00637139" w:rsidRPr="00BA7902" w:rsidRDefault="00637139" w:rsidP="00F2104E">
            <w:pPr>
              <w:spacing w:after="0" w:line="240" w:lineRule="auto"/>
            </w:pPr>
            <w:r w:rsidRPr="003317DA">
              <w:t>KKKA Tanı, Takip ve İzolasyon Önlemleri</w:t>
            </w:r>
          </w:p>
        </w:tc>
        <w:tc>
          <w:tcPr>
            <w:tcW w:w="1564" w:type="pct"/>
            <w:vAlign w:val="center"/>
          </w:tcPr>
          <w:p w14:paraId="0A3F4E4B" w14:textId="77777777" w:rsidR="00637139" w:rsidRPr="00BA7902" w:rsidRDefault="00637139" w:rsidP="00F2104E">
            <w:pPr>
              <w:spacing w:after="0" w:line="240" w:lineRule="auto"/>
              <w:jc w:val="center"/>
            </w:pPr>
            <w:r w:rsidRPr="003317DA">
              <w:t>Hasta başı eğitim</w:t>
            </w:r>
          </w:p>
        </w:tc>
        <w:tc>
          <w:tcPr>
            <w:tcW w:w="1170" w:type="pct"/>
            <w:vAlign w:val="center"/>
          </w:tcPr>
          <w:p w14:paraId="39AB5B54" w14:textId="77777777" w:rsidR="00637139" w:rsidRPr="00BA7902" w:rsidRDefault="00637139" w:rsidP="00F2104E">
            <w:pPr>
              <w:spacing w:after="0" w:line="240" w:lineRule="auto"/>
              <w:jc w:val="center"/>
            </w:pPr>
          </w:p>
        </w:tc>
      </w:tr>
      <w:tr w:rsidR="00637139" w:rsidRPr="00BA7902" w14:paraId="5974298B" w14:textId="77777777" w:rsidTr="00637139">
        <w:trPr>
          <w:trHeight w:val="567"/>
        </w:trPr>
        <w:tc>
          <w:tcPr>
            <w:tcW w:w="2266" w:type="pct"/>
            <w:vAlign w:val="center"/>
          </w:tcPr>
          <w:p w14:paraId="6730690F" w14:textId="77777777" w:rsidR="00637139" w:rsidRPr="00BA7902" w:rsidRDefault="00637139" w:rsidP="00F2104E">
            <w:pPr>
              <w:spacing w:after="0" w:line="240" w:lineRule="auto"/>
            </w:pPr>
            <w:r w:rsidRPr="003317DA">
              <w:t>Sepsisli Hastaya Yaklaşım</w:t>
            </w:r>
          </w:p>
        </w:tc>
        <w:tc>
          <w:tcPr>
            <w:tcW w:w="1564" w:type="pct"/>
            <w:vAlign w:val="center"/>
          </w:tcPr>
          <w:p w14:paraId="473B4CF9" w14:textId="77777777" w:rsidR="00637139" w:rsidRPr="00BA7902" w:rsidRDefault="00637139" w:rsidP="00F2104E">
            <w:pPr>
              <w:spacing w:after="0" w:line="240" w:lineRule="auto"/>
              <w:jc w:val="center"/>
            </w:pPr>
            <w:r w:rsidRPr="003317DA">
              <w:t>Hasta başı eğitim, Olgu tartışması, İnteraktif tartışma</w:t>
            </w:r>
          </w:p>
        </w:tc>
        <w:tc>
          <w:tcPr>
            <w:tcW w:w="1170" w:type="pct"/>
            <w:vAlign w:val="center"/>
          </w:tcPr>
          <w:p w14:paraId="4904D535" w14:textId="77777777" w:rsidR="00637139" w:rsidRPr="00BA7902" w:rsidRDefault="00637139" w:rsidP="00F2104E">
            <w:pPr>
              <w:spacing w:after="0" w:line="240" w:lineRule="auto"/>
              <w:jc w:val="center"/>
            </w:pPr>
          </w:p>
        </w:tc>
      </w:tr>
      <w:tr w:rsidR="00637139" w:rsidRPr="00BA7902" w14:paraId="538D5BBF" w14:textId="77777777" w:rsidTr="00637139">
        <w:trPr>
          <w:trHeight w:val="567"/>
        </w:trPr>
        <w:tc>
          <w:tcPr>
            <w:tcW w:w="2266" w:type="pct"/>
            <w:vAlign w:val="center"/>
          </w:tcPr>
          <w:p w14:paraId="586AAAC9" w14:textId="77777777" w:rsidR="00637139" w:rsidRPr="00D33A0F" w:rsidRDefault="00637139" w:rsidP="00F2104E">
            <w:pPr>
              <w:spacing w:after="0" w:line="240" w:lineRule="auto"/>
            </w:pPr>
            <w:r w:rsidRPr="003317DA">
              <w:t>Üriner Sistem Enfeksiyonu Tanı ve Tedavisi</w:t>
            </w:r>
          </w:p>
        </w:tc>
        <w:tc>
          <w:tcPr>
            <w:tcW w:w="1564" w:type="pct"/>
            <w:vAlign w:val="center"/>
          </w:tcPr>
          <w:p w14:paraId="0F26D370" w14:textId="77777777" w:rsidR="00637139" w:rsidRPr="00D33A0F" w:rsidRDefault="00637139" w:rsidP="00F2104E">
            <w:pPr>
              <w:spacing w:after="0" w:line="240" w:lineRule="auto"/>
              <w:jc w:val="center"/>
            </w:pPr>
            <w:r w:rsidRPr="003317DA">
              <w:t>Hasta başı eğitim</w:t>
            </w:r>
          </w:p>
        </w:tc>
        <w:tc>
          <w:tcPr>
            <w:tcW w:w="1170" w:type="pct"/>
            <w:vAlign w:val="center"/>
          </w:tcPr>
          <w:p w14:paraId="5F8A312C" w14:textId="77777777" w:rsidR="00637139" w:rsidRPr="00BA7902" w:rsidRDefault="00637139" w:rsidP="00F2104E">
            <w:pPr>
              <w:spacing w:after="0" w:line="240" w:lineRule="auto"/>
              <w:jc w:val="center"/>
            </w:pPr>
          </w:p>
        </w:tc>
      </w:tr>
      <w:tr w:rsidR="00637139" w:rsidRPr="00BA7902" w14:paraId="35531A57" w14:textId="77777777" w:rsidTr="00637139">
        <w:trPr>
          <w:trHeight w:val="567"/>
        </w:trPr>
        <w:tc>
          <w:tcPr>
            <w:tcW w:w="2266" w:type="pct"/>
            <w:vAlign w:val="center"/>
          </w:tcPr>
          <w:p w14:paraId="71058467" w14:textId="77777777" w:rsidR="00637139" w:rsidRPr="00D33A0F" w:rsidRDefault="00637139" w:rsidP="00F2104E">
            <w:pPr>
              <w:spacing w:after="0" w:line="240" w:lineRule="auto"/>
            </w:pPr>
            <w:r w:rsidRPr="003317DA">
              <w:t xml:space="preserve">HIV/AIDS Tanısı Alan Hastaya Yaklaşım  </w:t>
            </w:r>
          </w:p>
        </w:tc>
        <w:tc>
          <w:tcPr>
            <w:tcW w:w="1564" w:type="pct"/>
            <w:vAlign w:val="center"/>
          </w:tcPr>
          <w:p w14:paraId="7BB55156" w14:textId="77777777" w:rsidR="00637139" w:rsidRPr="00D33A0F" w:rsidRDefault="00637139" w:rsidP="00F2104E">
            <w:pPr>
              <w:spacing w:after="0" w:line="240" w:lineRule="auto"/>
              <w:jc w:val="center"/>
            </w:pPr>
            <w:r w:rsidRPr="003317DA">
              <w:t>Olgu tartışması, İnteraktif tartışma</w:t>
            </w:r>
          </w:p>
        </w:tc>
        <w:tc>
          <w:tcPr>
            <w:tcW w:w="1170" w:type="pct"/>
            <w:vAlign w:val="center"/>
          </w:tcPr>
          <w:p w14:paraId="75FE3C10" w14:textId="77777777" w:rsidR="00637139" w:rsidRPr="00BA7902" w:rsidRDefault="00637139" w:rsidP="00F2104E">
            <w:pPr>
              <w:spacing w:after="0" w:line="240" w:lineRule="auto"/>
              <w:jc w:val="center"/>
            </w:pPr>
          </w:p>
        </w:tc>
      </w:tr>
      <w:tr w:rsidR="00637139" w:rsidRPr="00BA7902" w14:paraId="19A23791" w14:textId="77777777" w:rsidTr="00637139">
        <w:trPr>
          <w:trHeight w:val="567"/>
        </w:trPr>
        <w:tc>
          <w:tcPr>
            <w:tcW w:w="2266" w:type="pct"/>
            <w:vAlign w:val="center"/>
          </w:tcPr>
          <w:p w14:paraId="50263E11" w14:textId="77777777" w:rsidR="00637139" w:rsidRPr="00D33A0F" w:rsidRDefault="00637139" w:rsidP="00F2104E">
            <w:pPr>
              <w:spacing w:after="0" w:line="240" w:lineRule="auto"/>
            </w:pPr>
            <w:r w:rsidRPr="003317DA">
              <w:t xml:space="preserve">Koruyucu Ekipman Kullanımı </w:t>
            </w:r>
          </w:p>
        </w:tc>
        <w:tc>
          <w:tcPr>
            <w:tcW w:w="1564" w:type="pct"/>
            <w:vAlign w:val="center"/>
          </w:tcPr>
          <w:p w14:paraId="6627F06F" w14:textId="77777777" w:rsidR="00637139" w:rsidRPr="00D33A0F" w:rsidRDefault="00637139" w:rsidP="00F2104E">
            <w:pPr>
              <w:spacing w:after="0" w:line="240" w:lineRule="auto"/>
              <w:jc w:val="center"/>
            </w:pPr>
            <w:r w:rsidRPr="003317DA">
              <w:t>İnteraktif tartışma</w:t>
            </w:r>
          </w:p>
        </w:tc>
        <w:tc>
          <w:tcPr>
            <w:tcW w:w="1170" w:type="pct"/>
            <w:vAlign w:val="center"/>
          </w:tcPr>
          <w:p w14:paraId="253FBF7F" w14:textId="77777777" w:rsidR="00637139" w:rsidRPr="00BA7902" w:rsidRDefault="00637139" w:rsidP="00F2104E">
            <w:pPr>
              <w:spacing w:after="0" w:line="240" w:lineRule="auto"/>
              <w:jc w:val="center"/>
            </w:pPr>
          </w:p>
        </w:tc>
      </w:tr>
      <w:tr w:rsidR="00637139" w:rsidRPr="00BA7902" w14:paraId="415E5D7E" w14:textId="77777777" w:rsidTr="00637139">
        <w:trPr>
          <w:trHeight w:val="567"/>
        </w:trPr>
        <w:tc>
          <w:tcPr>
            <w:tcW w:w="2266" w:type="pct"/>
            <w:vAlign w:val="center"/>
          </w:tcPr>
          <w:p w14:paraId="7F3A73A3" w14:textId="77777777" w:rsidR="00637139" w:rsidRPr="00D33A0F" w:rsidRDefault="00637139" w:rsidP="00F2104E">
            <w:pPr>
              <w:spacing w:after="0" w:line="240" w:lineRule="auto"/>
            </w:pPr>
            <w:r w:rsidRPr="003317DA">
              <w:t xml:space="preserve">İzolasyon Önlemleri </w:t>
            </w:r>
          </w:p>
        </w:tc>
        <w:tc>
          <w:tcPr>
            <w:tcW w:w="1564" w:type="pct"/>
            <w:vAlign w:val="center"/>
          </w:tcPr>
          <w:p w14:paraId="00733CBD" w14:textId="77777777" w:rsidR="00637139" w:rsidRPr="00D33A0F" w:rsidRDefault="00637139" w:rsidP="00F2104E">
            <w:pPr>
              <w:spacing w:after="0" w:line="240" w:lineRule="auto"/>
              <w:jc w:val="center"/>
            </w:pPr>
            <w:r w:rsidRPr="003317DA">
              <w:t>İnteraktif tartışma</w:t>
            </w:r>
          </w:p>
        </w:tc>
        <w:tc>
          <w:tcPr>
            <w:tcW w:w="1170" w:type="pct"/>
            <w:vAlign w:val="center"/>
          </w:tcPr>
          <w:p w14:paraId="5FEDD056" w14:textId="77777777" w:rsidR="00637139" w:rsidRPr="00BA7902" w:rsidRDefault="00637139" w:rsidP="00F2104E">
            <w:pPr>
              <w:spacing w:after="0" w:line="240" w:lineRule="auto"/>
              <w:jc w:val="center"/>
            </w:pPr>
          </w:p>
        </w:tc>
      </w:tr>
      <w:tr w:rsidR="00637139" w:rsidRPr="00BA7902" w14:paraId="38A8DCAD" w14:textId="77777777" w:rsidTr="00637139">
        <w:trPr>
          <w:trHeight w:val="567"/>
        </w:trPr>
        <w:tc>
          <w:tcPr>
            <w:tcW w:w="2266" w:type="pct"/>
            <w:vAlign w:val="center"/>
          </w:tcPr>
          <w:p w14:paraId="5C357F71" w14:textId="77777777" w:rsidR="00637139" w:rsidRPr="00D33A0F" w:rsidRDefault="00637139" w:rsidP="00F2104E">
            <w:pPr>
              <w:spacing w:after="0" w:line="240" w:lineRule="auto"/>
            </w:pPr>
            <w:r w:rsidRPr="003317DA">
              <w:t>Sağlık Bakımı İlişkili Enfeksiyonların Önlenmesi</w:t>
            </w:r>
          </w:p>
        </w:tc>
        <w:tc>
          <w:tcPr>
            <w:tcW w:w="1564" w:type="pct"/>
            <w:vAlign w:val="center"/>
          </w:tcPr>
          <w:p w14:paraId="0B66F5A2" w14:textId="77777777" w:rsidR="00637139" w:rsidRPr="00D33A0F" w:rsidRDefault="00637139" w:rsidP="00F2104E">
            <w:pPr>
              <w:spacing w:after="0" w:line="240" w:lineRule="auto"/>
              <w:jc w:val="center"/>
            </w:pPr>
            <w:r w:rsidRPr="003317DA">
              <w:t>İnteraktif tartışma</w:t>
            </w:r>
          </w:p>
        </w:tc>
        <w:tc>
          <w:tcPr>
            <w:tcW w:w="1170" w:type="pct"/>
            <w:vAlign w:val="center"/>
          </w:tcPr>
          <w:p w14:paraId="07EA0AB1" w14:textId="77777777" w:rsidR="00637139" w:rsidRPr="00BA7902" w:rsidRDefault="00637139" w:rsidP="00F2104E">
            <w:pPr>
              <w:spacing w:after="0" w:line="240" w:lineRule="auto"/>
              <w:jc w:val="center"/>
            </w:pPr>
          </w:p>
        </w:tc>
      </w:tr>
    </w:tbl>
    <w:p w14:paraId="5E599A66" w14:textId="54B8A8ED" w:rsidR="000D17AB" w:rsidRPr="000D17AB" w:rsidRDefault="000D17AB" w:rsidP="000D17AB">
      <w:pPr>
        <w:spacing w:after="0" w:line="240" w:lineRule="auto"/>
        <w:rPr>
          <w:rFonts w:ascii="Calibri" w:eastAsia="Calibri" w:hAnsi="Calibri" w:cs="Times New Roman"/>
        </w:rPr>
      </w:pPr>
    </w:p>
    <w:p w14:paraId="2E8528D3" w14:textId="5657CEF4"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2"/>
        <w:tblW w:w="5000" w:type="pct"/>
        <w:tblLook w:val="04A0" w:firstRow="1" w:lastRow="0" w:firstColumn="1" w:lastColumn="0" w:noHBand="0" w:noVBand="1"/>
      </w:tblPr>
      <w:tblGrid>
        <w:gridCol w:w="773"/>
        <w:gridCol w:w="9009"/>
        <w:gridCol w:w="1234"/>
      </w:tblGrid>
      <w:tr w:rsidR="00637139" w:rsidRPr="00637139" w14:paraId="367959E7" w14:textId="77777777" w:rsidTr="00637139">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54550FB3" w14:textId="77777777" w:rsidR="00637139" w:rsidRPr="00637139" w:rsidRDefault="00637139" w:rsidP="00637139">
            <w:r w:rsidRPr="00637139">
              <w:t>Sıra</w:t>
            </w:r>
          </w:p>
        </w:tc>
        <w:tc>
          <w:tcPr>
            <w:tcW w:w="4089" w:type="pct"/>
            <w:vAlign w:val="bottom"/>
          </w:tcPr>
          <w:p w14:paraId="5E4826E8" w14:textId="77777777" w:rsidR="00637139" w:rsidRPr="00637139" w:rsidRDefault="00637139" w:rsidP="00637139">
            <w:pPr>
              <w:cnfStyle w:val="100000000000" w:firstRow="1" w:lastRow="0" w:firstColumn="0" w:lastColumn="0" w:oddVBand="0" w:evenVBand="0" w:oddHBand="0" w:evenHBand="0" w:firstRowFirstColumn="0" w:firstRowLastColumn="0" w:lastRowFirstColumn="0" w:lastRowLastColumn="0"/>
            </w:pPr>
            <w:r w:rsidRPr="00637139">
              <w:t>Hekimlik Uygulaması</w:t>
            </w:r>
          </w:p>
        </w:tc>
        <w:tc>
          <w:tcPr>
            <w:tcW w:w="560" w:type="pct"/>
          </w:tcPr>
          <w:p w14:paraId="11098D2B" w14:textId="77777777" w:rsidR="00637139" w:rsidRPr="00637139" w:rsidRDefault="00637139" w:rsidP="00637139">
            <w:pPr>
              <w:jc w:val="center"/>
              <w:cnfStyle w:val="100000000000" w:firstRow="1" w:lastRow="0" w:firstColumn="0" w:lastColumn="0" w:oddVBand="0" w:evenVBand="0" w:oddHBand="0" w:evenHBand="0" w:firstRowFirstColumn="0" w:firstRowLastColumn="0" w:lastRowFirstColumn="0" w:lastRowLastColumn="0"/>
            </w:pPr>
            <w:r w:rsidRPr="00637139">
              <w:t>Asgari Sayı</w:t>
            </w:r>
          </w:p>
        </w:tc>
      </w:tr>
      <w:tr w:rsidR="00637139" w:rsidRPr="00637139" w14:paraId="22B71372" w14:textId="77777777" w:rsidTr="0063713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87ABDFE" w14:textId="77777777" w:rsidR="00637139" w:rsidRPr="00637139" w:rsidRDefault="00637139" w:rsidP="00637139">
            <w:r w:rsidRPr="00637139">
              <w:t>1</w:t>
            </w:r>
          </w:p>
        </w:tc>
        <w:tc>
          <w:tcPr>
            <w:tcW w:w="4089" w:type="pct"/>
            <w:vAlign w:val="center"/>
          </w:tcPr>
          <w:p w14:paraId="47D7B9A0" w14:textId="77777777" w:rsidR="00637139" w:rsidRPr="00637139" w:rsidRDefault="00637139" w:rsidP="00637139">
            <w:pPr>
              <w:cnfStyle w:val="000000100000" w:firstRow="0" w:lastRow="0" w:firstColumn="0" w:lastColumn="0" w:oddVBand="0" w:evenVBand="0" w:oddHBand="1" w:evenHBand="0" w:firstRowFirstColumn="0" w:firstRowLastColumn="0" w:lastRowFirstColumn="0" w:lastRowLastColumn="0"/>
            </w:pPr>
            <w:r w:rsidRPr="00637139">
              <w:t>Genel ve enfeksiyon hastalıklarına yönelik öykü alabilme</w:t>
            </w:r>
          </w:p>
        </w:tc>
        <w:tc>
          <w:tcPr>
            <w:tcW w:w="560" w:type="pct"/>
            <w:vAlign w:val="center"/>
          </w:tcPr>
          <w:p w14:paraId="39F90EBC" w14:textId="77777777" w:rsidR="00637139" w:rsidRPr="00637139" w:rsidRDefault="00637139" w:rsidP="00637139">
            <w:pPr>
              <w:jc w:val="center"/>
              <w:cnfStyle w:val="000000100000" w:firstRow="0" w:lastRow="0" w:firstColumn="0" w:lastColumn="0" w:oddVBand="0" w:evenVBand="0" w:oddHBand="1" w:evenHBand="0" w:firstRowFirstColumn="0" w:firstRowLastColumn="0" w:lastRowFirstColumn="0" w:lastRowLastColumn="0"/>
            </w:pPr>
            <w:r w:rsidRPr="00637139">
              <w:t>5</w:t>
            </w:r>
          </w:p>
        </w:tc>
      </w:tr>
      <w:tr w:rsidR="00637139" w:rsidRPr="00637139" w14:paraId="0122C579" w14:textId="77777777" w:rsidTr="00637139">
        <w:trPr>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471CB63" w14:textId="77777777" w:rsidR="00637139" w:rsidRPr="00637139" w:rsidRDefault="00637139" w:rsidP="00637139">
            <w:r w:rsidRPr="00637139">
              <w:t>2</w:t>
            </w:r>
          </w:p>
        </w:tc>
        <w:tc>
          <w:tcPr>
            <w:tcW w:w="4089" w:type="pct"/>
            <w:vAlign w:val="center"/>
          </w:tcPr>
          <w:p w14:paraId="7C948009" w14:textId="77777777" w:rsidR="00637139" w:rsidRPr="00637139" w:rsidRDefault="00637139" w:rsidP="00637139">
            <w:pPr>
              <w:cnfStyle w:val="000000000000" w:firstRow="0" w:lastRow="0" w:firstColumn="0" w:lastColumn="0" w:oddVBand="0" w:evenVBand="0" w:oddHBand="0" w:evenHBand="0" w:firstRowFirstColumn="0" w:firstRowLastColumn="0" w:lastRowFirstColumn="0" w:lastRowLastColumn="0"/>
            </w:pPr>
            <w:r w:rsidRPr="00637139">
              <w:t>Genel durum ve vital bulguların değerlendirilmesi</w:t>
            </w:r>
          </w:p>
        </w:tc>
        <w:tc>
          <w:tcPr>
            <w:tcW w:w="560" w:type="pct"/>
            <w:vAlign w:val="center"/>
          </w:tcPr>
          <w:p w14:paraId="6800C8C3" w14:textId="77777777" w:rsidR="00637139" w:rsidRPr="00637139" w:rsidRDefault="00637139" w:rsidP="00637139">
            <w:pPr>
              <w:jc w:val="center"/>
              <w:cnfStyle w:val="000000000000" w:firstRow="0" w:lastRow="0" w:firstColumn="0" w:lastColumn="0" w:oddVBand="0" w:evenVBand="0" w:oddHBand="0" w:evenHBand="0" w:firstRowFirstColumn="0" w:firstRowLastColumn="0" w:lastRowFirstColumn="0" w:lastRowLastColumn="0"/>
            </w:pPr>
            <w:r w:rsidRPr="00637139">
              <w:t>5</w:t>
            </w:r>
          </w:p>
        </w:tc>
      </w:tr>
      <w:tr w:rsidR="00637139" w:rsidRPr="00637139" w14:paraId="3FBD1A09" w14:textId="77777777" w:rsidTr="006371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DFE6443" w14:textId="77777777" w:rsidR="00637139" w:rsidRPr="00637139" w:rsidRDefault="00637139" w:rsidP="00637139">
            <w:r w:rsidRPr="00637139">
              <w:t>3</w:t>
            </w:r>
          </w:p>
        </w:tc>
        <w:tc>
          <w:tcPr>
            <w:tcW w:w="4089" w:type="pct"/>
            <w:vAlign w:val="center"/>
          </w:tcPr>
          <w:p w14:paraId="135925C0" w14:textId="77777777" w:rsidR="00637139" w:rsidRPr="00637139" w:rsidRDefault="00637139" w:rsidP="00637139">
            <w:pPr>
              <w:cnfStyle w:val="000000100000" w:firstRow="0" w:lastRow="0" w:firstColumn="0" w:lastColumn="0" w:oddVBand="0" w:evenVBand="0" w:oddHBand="1" w:evenHBand="0" w:firstRowFirstColumn="0" w:firstRowLastColumn="0" w:lastRowFirstColumn="0" w:lastRowLastColumn="0"/>
            </w:pPr>
            <w:r w:rsidRPr="00637139">
              <w:t>Genel fizik muayene</w:t>
            </w:r>
          </w:p>
        </w:tc>
        <w:tc>
          <w:tcPr>
            <w:tcW w:w="560" w:type="pct"/>
            <w:vAlign w:val="center"/>
          </w:tcPr>
          <w:p w14:paraId="5E09F9B2" w14:textId="77777777" w:rsidR="00637139" w:rsidRPr="00637139" w:rsidRDefault="00637139" w:rsidP="00637139">
            <w:pPr>
              <w:jc w:val="center"/>
              <w:cnfStyle w:val="000000100000" w:firstRow="0" w:lastRow="0" w:firstColumn="0" w:lastColumn="0" w:oddVBand="0" w:evenVBand="0" w:oddHBand="1" w:evenHBand="0" w:firstRowFirstColumn="0" w:firstRowLastColumn="0" w:lastRowFirstColumn="0" w:lastRowLastColumn="0"/>
            </w:pPr>
            <w:r w:rsidRPr="00637139">
              <w:t>5</w:t>
            </w:r>
          </w:p>
        </w:tc>
      </w:tr>
      <w:tr w:rsidR="00637139" w:rsidRPr="00637139" w14:paraId="4A1B84FB" w14:textId="77777777" w:rsidTr="0063713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49CB0DF" w14:textId="77777777" w:rsidR="00637139" w:rsidRPr="00637139" w:rsidRDefault="00637139" w:rsidP="00637139">
            <w:r w:rsidRPr="00637139">
              <w:t>4</w:t>
            </w:r>
          </w:p>
        </w:tc>
        <w:tc>
          <w:tcPr>
            <w:tcW w:w="4089" w:type="pct"/>
            <w:vAlign w:val="center"/>
          </w:tcPr>
          <w:p w14:paraId="1A3A408B" w14:textId="77777777" w:rsidR="00637139" w:rsidRPr="00637139" w:rsidRDefault="00637139" w:rsidP="00637139">
            <w:pPr>
              <w:cnfStyle w:val="000000000000" w:firstRow="0" w:lastRow="0" w:firstColumn="0" w:lastColumn="0" w:oddVBand="0" w:evenVBand="0" w:oddHBand="0" w:evenHBand="0" w:firstRowFirstColumn="0" w:firstRowLastColumn="0" w:lastRowFirstColumn="0" w:lastRowLastColumn="0"/>
            </w:pPr>
            <w:r w:rsidRPr="00637139">
              <w:t>SSS enfeksiyonuna yönelik muayene</w:t>
            </w:r>
          </w:p>
        </w:tc>
        <w:tc>
          <w:tcPr>
            <w:tcW w:w="560" w:type="pct"/>
            <w:vAlign w:val="center"/>
          </w:tcPr>
          <w:p w14:paraId="47CACCB1" w14:textId="77777777" w:rsidR="00637139" w:rsidRPr="00637139" w:rsidRDefault="00637139" w:rsidP="00637139">
            <w:pPr>
              <w:jc w:val="center"/>
              <w:cnfStyle w:val="000000000000" w:firstRow="0" w:lastRow="0" w:firstColumn="0" w:lastColumn="0" w:oddVBand="0" w:evenVBand="0" w:oddHBand="0" w:evenHBand="0" w:firstRowFirstColumn="0" w:firstRowLastColumn="0" w:lastRowFirstColumn="0" w:lastRowLastColumn="0"/>
            </w:pPr>
            <w:r w:rsidRPr="00637139">
              <w:t>5</w:t>
            </w:r>
          </w:p>
        </w:tc>
      </w:tr>
      <w:tr w:rsidR="00637139" w:rsidRPr="00637139" w14:paraId="345A69C8" w14:textId="77777777" w:rsidTr="006371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CC9737E" w14:textId="77777777" w:rsidR="00637139" w:rsidRPr="00637139" w:rsidRDefault="00637139" w:rsidP="00637139">
            <w:r w:rsidRPr="00637139">
              <w:t>5</w:t>
            </w:r>
          </w:p>
        </w:tc>
        <w:tc>
          <w:tcPr>
            <w:tcW w:w="4089" w:type="pct"/>
            <w:vAlign w:val="center"/>
          </w:tcPr>
          <w:p w14:paraId="7760683C" w14:textId="77777777" w:rsidR="00637139" w:rsidRPr="00637139" w:rsidRDefault="00637139" w:rsidP="00637139">
            <w:pPr>
              <w:cnfStyle w:val="000000100000" w:firstRow="0" w:lastRow="0" w:firstColumn="0" w:lastColumn="0" w:oddVBand="0" w:evenVBand="0" w:oddHBand="1" w:evenHBand="0" w:firstRowFirstColumn="0" w:firstRowLastColumn="0" w:lastRowFirstColumn="0" w:lastRowLastColumn="0"/>
            </w:pPr>
            <w:r w:rsidRPr="00637139">
              <w:t>Epikriz hazırlayabilme</w:t>
            </w:r>
          </w:p>
        </w:tc>
        <w:tc>
          <w:tcPr>
            <w:tcW w:w="560" w:type="pct"/>
            <w:vAlign w:val="center"/>
          </w:tcPr>
          <w:p w14:paraId="488BC03B" w14:textId="77777777" w:rsidR="00637139" w:rsidRPr="00637139" w:rsidRDefault="00637139" w:rsidP="00637139">
            <w:pPr>
              <w:jc w:val="center"/>
              <w:cnfStyle w:val="000000100000" w:firstRow="0" w:lastRow="0" w:firstColumn="0" w:lastColumn="0" w:oddVBand="0" w:evenVBand="0" w:oddHBand="1" w:evenHBand="0" w:firstRowFirstColumn="0" w:firstRowLastColumn="0" w:lastRowFirstColumn="0" w:lastRowLastColumn="0"/>
            </w:pPr>
            <w:r w:rsidRPr="00637139">
              <w:t>5</w:t>
            </w:r>
          </w:p>
        </w:tc>
      </w:tr>
      <w:tr w:rsidR="00637139" w:rsidRPr="00637139" w14:paraId="06A9D1F3" w14:textId="77777777" w:rsidTr="0063713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B98E90A" w14:textId="77777777" w:rsidR="00637139" w:rsidRPr="00637139" w:rsidRDefault="00637139" w:rsidP="00637139">
            <w:r w:rsidRPr="00637139">
              <w:t>6</w:t>
            </w:r>
          </w:p>
        </w:tc>
        <w:tc>
          <w:tcPr>
            <w:tcW w:w="4089" w:type="pct"/>
            <w:vAlign w:val="center"/>
          </w:tcPr>
          <w:p w14:paraId="0430CDC6" w14:textId="77777777" w:rsidR="00637139" w:rsidRPr="00637139" w:rsidRDefault="00637139" w:rsidP="00637139">
            <w:pPr>
              <w:cnfStyle w:val="000000000000" w:firstRow="0" w:lastRow="0" w:firstColumn="0" w:lastColumn="0" w:oddVBand="0" w:evenVBand="0" w:oddHBand="0" w:evenHBand="0" w:firstRowFirstColumn="0" w:firstRowLastColumn="0" w:lastRowFirstColumn="0" w:lastRowLastColumn="0"/>
            </w:pPr>
            <w:r w:rsidRPr="00637139">
              <w:t>Hasta dosyası hazırlayabilme</w:t>
            </w:r>
          </w:p>
        </w:tc>
        <w:tc>
          <w:tcPr>
            <w:tcW w:w="560" w:type="pct"/>
            <w:vAlign w:val="center"/>
          </w:tcPr>
          <w:p w14:paraId="5F52CDB0" w14:textId="77777777" w:rsidR="00637139" w:rsidRPr="00637139" w:rsidRDefault="00637139" w:rsidP="00637139">
            <w:pPr>
              <w:jc w:val="center"/>
              <w:cnfStyle w:val="000000000000" w:firstRow="0" w:lastRow="0" w:firstColumn="0" w:lastColumn="0" w:oddVBand="0" w:evenVBand="0" w:oddHBand="0" w:evenHBand="0" w:firstRowFirstColumn="0" w:firstRowLastColumn="0" w:lastRowFirstColumn="0" w:lastRowLastColumn="0"/>
            </w:pPr>
            <w:r w:rsidRPr="00637139">
              <w:t>5</w:t>
            </w:r>
          </w:p>
        </w:tc>
      </w:tr>
      <w:tr w:rsidR="00637139" w:rsidRPr="00637139" w14:paraId="018B4DAB" w14:textId="77777777" w:rsidTr="006371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BE8182A" w14:textId="77777777" w:rsidR="00637139" w:rsidRPr="00637139" w:rsidRDefault="00637139" w:rsidP="00637139">
            <w:r w:rsidRPr="00637139">
              <w:t>7</w:t>
            </w:r>
          </w:p>
        </w:tc>
        <w:tc>
          <w:tcPr>
            <w:tcW w:w="4089" w:type="pct"/>
            <w:vAlign w:val="center"/>
          </w:tcPr>
          <w:p w14:paraId="51F3E8A3" w14:textId="77777777" w:rsidR="00637139" w:rsidRPr="00637139" w:rsidRDefault="00637139" w:rsidP="00637139">
            <w:pPr>
              <w:cnfStyle w:val="000000100000" w:firstRow="0" w:lastRow="0" w:firstColumn="0" w:lastColumn="0" w:oddVBand="0" w:evenVBand="0" w:oddHBand="1" w:evenHBand="0" w:firstRowFirstColumn="0" w:firstRowLastColumn="0" w:lastRowFirstColumn="0" w:lastRowLastColumn="0"/>
            </w:pPr>
            <w:r w:rsidRPr="00637139">
              <w:t>Hastaları uygun sevk edebilme</w:t>
            </w:r>
          </w:p>
        </w:tc>
        <w:tc>
          <w:tcPr>
            <w:tcW w:w="560" w:type="pct"/>
            <w:vAlign w:val="center"/>
          </w:tcPr>
          <w:p w14:paraId="153085D7" w14:textId="77777777" w:rsidR="00637139" w:rsidRPr="00637139" w:rsidRDefault="00637139" w:rsidP="00637139">
            <w:pPr>
              <w:jc w:val="center"/>
              <w:cnfStyle w:val="000000100000" w:firstRow="0" w:lastRow="0" w:firstColumn="0" w:lastColumn="0" w:oddVBand="0" w:evenVBand="0" w:oddHBand="1" w:evenHBand="0" w:firstRowFirstColumn="0" w:firstRowLastColumn="0" w:lastRowFirstColumn="0" w:lastRowLastColumn="0"/>
            </w:pPr>
            <w:r w:rsidRPr="00637139">
              <w:t>5</w:t>
            </w:r>
          </w:p>
        </w:tc>
      </w:tr>
      <w:tr w:rsidR="00637139" w:rsidRPr="00637139" w14:paraId="267853B0" w14:textId="77777777" w:rsidTr="0063713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82F5450" w14:textId="77777777" w:rsidR="00637139" w:rsidRPr="00637139" w:rsidRDefault="00637139" w:rsidP="00637139">
            <w:r w:rsidRPr="00637139">
              <w:t>8</w:t>
            </w:r>
          </w:p>
        </w:tc>
        <w:tc>
          <w:tcPr>
            <w:tcW w:w="4089" w:type="pct"/>
            <w:vAlign w:val="center"/>
          </w:tcPr>
          <w:p w14:paraId="2AC26DF0" w14:textId="77777777" w:rsidR="00637139" w:rsidRPr="00637139" w:rsidRDefault="00637139" w:rsidP="00637139">
            <w:pPr>
              <w:cnfStyle w:val="000000000000" w:firstRow="0" w:lastRow="0" w:firstColumn="0" w:lastColumn="0" w:oddVBand="0" w:evenVBand="0" w:oddHBand="0" w:evenHBand="0" w:firstRowFirstColumn="0" w:firstRowLastColumn="0" w:lastRowFirstColumn="0" w:lastRowLastColumn="0"/>
            </w:pPr>
            <w:r w:rsidRPr="00637139">
              <w:t>Laboratuvar inceleme için istek formunu doldurabilme</w:t>
            </w:r>
          </w:p>
        </w:tc>
        <w:tc>
          <w:tcPr>
            <w:tcW w:w="560" w:type="pct"/>
            <w:vAlign w:val="center"/>
          </w:tcPr>
          <w:p w14:paraId="00004C36" w14:textId="77777777" w:rsidR="00637139" w:rsidRPr="00637139" w:rsidRDefault="00637139" w:rsidP="00637139">
            <w:pPr>
              <w:jc w:val="center"/>
              <w:cnfStyle w:val="000000000000" w:firstRow="0" w:lastRow="0" w:firstColumn="0" w:lastColumn="0" w:oddVBand="0" w:evenVBand="0" w:oddHBand="0" w:evenHBand="0" w:firstRowFirstColumn="0" w:firstRowLastColumn="0" w:lastRowFirstColumn="0" w:lastRowLastColumn="0"/>
            </w:pPr>
            <w:r w:rsidRPr="00637139">
              <w:t>5</w:t>
            </w:r>
          </w:p>
        </w:tc>
      </w:tr>
      <w:tr w:rsidR="00637139" w:rsidRPr="00637139" w14:paraId="37031859" w14:textId="77777777" w:rsidTr="006371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12F56E2" w14:textId="77777777" w:rsidR="00637139" w:rsidRPr="00637139" w:rsidRDefault="00637139" w:rsidP="00637139">
            <w:r w:rsidRPr="00637139">
              <w:t>9</w:t>
            </w:r>
          </w:p>
        </w:tc>
        <w:tc>
          <w:tcPr>
            <w:tcW w:w="4089" w:type="pct"/>
            <w:vAlign w:val="center"/>
          </w:tcPr>
          <w:p w14:paraId="402522D3" w14:textId="77777777" w:rsidR="00637139" w:rsidRPr="00637139" w:rsidRDefault="00637139" w:rsidP="00637139">
            <w:pPr>
              <w:cnfStyle w:val="000000100000" w:firstRow="0" w:lastRow="0" w:firstColumn="0" w:lastColumn="0" w:oddVBand="0" w:evenVBand="0" w:oddHBand="1" w:evenHBand="0" w:firstRowFirstColumn="0" w:firstRowLastColumn="0" w:lastRowFirstColumn="0" w:lastRowLastColumn="0"/>
            </w:pPr>
            <w:r w:rsidRPr="00637139">
              <w:t>Laboratuvar örneğini uygun koşullarda alabilme ve laboratuvara ulaştırabilme</w:t>
            </w:r>
          </w:p>
        </w:tc>
        <w:tc>
          <w:tcPr>
            <w:tcW w:w="560" w:type="pct"/>
            <w:vAlign w:val="center"/>
          </w:tcPr>
          <w:p w14:paraId="6BB5C2E7" w14:textId="77777777" w:rsidR="00637139" w:rsidRPr="00637139" w:rsidRDefault="00637139" w:rsidP="00637139">
            <w:pPr>
              <w:jc w:val="center"/>
              <w:cnfStyle w:val="000000100000" w:firstRow="0" w:lastRow="0" w:firstColumn="0" w:lastColumn="0" w:oddVBand="0" w:evenVBand="0" w:oddHBand="1" w:evenHBand="0" w:firstRowFirstColumn="0" w:firstRowLastColumn="0" w:lastRowFirstColumn="0" w:lastRowLastColumn="0"/>
            </w:pPr>
            <w:r w:rsidRPr="00637139">
              <w:t>5</w:t>
            </w:r>
          </w:p>
        </w:tc>
      </w:tr>
      <w:tr w:rsidR="00637139" w:rsidRPr="00637139" w14:paraId="5E6A9F84" w14:textId="77777777" w:rsidTr="0063713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CC9CEB3" w14:textId="77777777" w:rsidR="00637139" w:rsidRPr="00637139" w:rsidRDefault="00637139" w:rsidP="00637139">
            <w:r w:rsidRPr="00637139">
              <w:t>10</w:t>
            </w:r>
          </w:p>
        </w:tc>
        <w:tc>
          <w:tcPr>
            <w:tcW w:w="4089" w:type="pct"/>
            <w:vAlign w:val="center"/>
          </w:tcPr>
          <w:p w14:paraId="350B5DA1" w14:textId="77777777" w:rsidR="00637139" w:rsidRPr="00637139" w:rsidRDefault="00637139" w:rsidP="00637139">
            <w:pPr>
              <w:cnfStyle w:val="000000000000" w:firstRow="0" w:lastRow="0" w:firstColumn="0" w:lastColumn="0" w:oddVBand="0" w:evenVBand="0" w:oddHBand="0" w:evenHBand="0" w:firstRowFirstColumn="0" w:firstRowLastColumn="0" w:lastRowFirstColumn="0" w:lastRowLastColumn="0"/>
            </w:pPr>
            <w:r w:rsidRPr="00637139">
              <w:t>Tarama ve tanısal amaçlı inceleme sonuçlarını yorumlayabilme</w:t>
            </w:r>
          </w:p>
        </w:tc>
        <w:tc>
          <w:tcPr>
            <w:tcW w:w="560" w:type="pct"/>
            <w:vAlign w:val="center"/>
          </w:tcPr>
          <w:p w14:paraId="1013B099" w14:textId="77777777" w:rsidR="00637139" w:rsidRPr="00637139" w:rsidRDefault="00637139" w:rsidP="00637139">
            <w:pPr>
              <w:jc w:val="center"/>
              <w:cnfStyle w:val="000000000000" w:firstRow="0" w:lastRow="0" w:firstColumn="0" w:lastColumn="0" w:oddVBand="0" w:evenVBand="0" w:oddHBand="0" w:evenHBand="0" w:firstRowFirstColumn="0" w:firstRowLastColumn="0" w:lastRowFirstColumn="0" w:lastRowLastColumn="0"/>
            </w:pPr>
            <w:r w:rsidRPr="00637139">
              <w:t>5</w:t>
            </w:r>
          </w:p>
        </w:tc>
      </w:tr>
      <w:tr w:rsidR="00637139" w:rsidRPr="00637139" w14:paraId="26542329" w14:textId="77777777" w:rsidTr="006371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B768529" w14:textId="77777777" w:rsidR="00637139" w:rsidRPr="00637139" w:rsidRDefault="00637139" w:rsidP="00637139">
            <w:r w:rsidRPr="00637139">
              <w:lastRenderedPageBreak/>
              <w:t>11</w:t>
            </w:r>
          </w:p>
        </w:tc>
        <w:tc>
          <w:tcPr>
            <w:tcW w:w="4089" w:type="pct"/>
            <w:vAlign w:val="center"/>
          </w:tcPr>
          <w:p w14:paraId="4CDF598C" w14:textId="77777777" w:rsidR="00637139" w:rsidRPr="00637139" w:rsidRDefault="00637139" w:rsidP="00637139">
            <w:pPr>
              <w:cnfStyle w:val="000000100000" w:firstRow="0" w:lastRow="0" w:firstColumn="0" w:lastColumn="0" w:oddVBand="0" w:evenVBand="0" w:oddHBand="1" w:evenHBand="0" w:firstRowFirstColumn="0" w:firstRowLastColumn="0" w:lastRowFirstColumn="0" w:lastRowLastColumn="0"/>
            </w:pPr>
            <w:r w:rsidRPr="00637139">
              <w:t>Kültür için örnek alabilme</w:t>
            </w:r>
          </w:p>
        </w:tc>
        <w:tc>
          <w:tcPr>
            <w:tcW w:w="560" w:type="pct"/>
            <w:vAlign w:val="center"/>
          </w:tcPr>
          <w:p w14:paraId="2F7B4007" w14:textId="77777777" w:rsidR="00637139" w:rsidRPr="00637139" w:rsidRDefault="00637139" w:rsidP="00637139">
            <w:pPr>
              <w:jc w:val="center"/>
              <w:cnfStyle w:val="000000100000" w:firstRow="0" w:lastRow="0" w:firstColumn="0" w:lastColumn="0" w:oddVBand="0" w:evenVBand="0" w:oddHBand="1" w:evenHBand="0" w:firstRowFirstColumn="0" w:firstRowLastColumn="0" w:lastRowFirstColumn="0" w:lastRowLastColumn="0"/>
            </w:pPr>
            <w:r w:rsidRPr="00637139">
              <w:t>5</w:t>
            </w:r>
          </w:p>
        </w:tc>
      </w:tr>
      <w:tr w:rsidR="00637139" w:rsidRPr="00637139" w14:paraId="56B4E5D6" w14:textId="77777777" w:rsidTr="0063713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4D5B4D7" w14:textId="77777777" w:rsidR="00637139" w:rsidRPr="00637139" w:rsidRDefault="00637139" w:rsidP="00637139">
            <w:r w:rsidRPr="00637139">
              <w:t>12</w:t>
            </w:r>
          </w:p>
        </w:tc>
        <w:tc>
          <w:tcPr>
            <w:tcW w:w="4089" w:type="pct"/>
            <w:vAlign w:val="center"/>
          </w:tcPr>
          <w:p w14:paraId="15874086" w14:textId="77777777" w:rsidR="00637139" w:rsidRPr="00637139" w:rsidRDefault="00637139" w:rsidP="00637139">
            <w:pPr>
              <w:cnfStyle w:val="000000000000" w:firstRow="0" w:lastRow="0" w:firstColumn="0" w:lastColumn="0" w:oddVBand="0" w:evenVBand="0" w:oddHBand="0" w:evenHBand="0" w:firstRowFirstColumn="0" w:firstRowLastColumn="0" w:lastRowFirstColumn="0" w:lastRowLastColumn="0"/>
            </w:pPr>
            <w:r w:rsidRPr="00637139">
              <w:t>Akılcı antibiyotik kullanımı</w:t>
            </w:r>
          </w:p>
        </w:tc>
        <w:tc>
          <w:tcPr>
            <w:tcW w:w="560" w:type="pct"/>
            <w:vAlign w:val="center"/>
          </w:tcPr>
          <w:p w14:paraId="00C312CD" w14:textId="77777777" w:rsidR="00637139" w:rsidRPr="00637139" w:rsidRDefault="00637139" w:rsidP="00637139">
            <w:pPr>
              <w:jc w:val="center"/>
              <w:cnfStyle w:val="000000000000" w:firstRow="0" w:lastRow="0" w:firstColumn="0" w:lastColumn="0" w:oddVBand="0" w:evenVBand="0" w:oddHBand="0" w:evenHBand="0" w:firstRowFirstColumn="0" w:firstRowLastColumn="0" w:lastRowFirstColumn="0" w:lastRowLastColumn="0"/>
            </w:pPr>
            <w:r w:rsidRPr="00637139">
              <w:t>5</w:t>
            </w:r>
          </w:p>
        </w:tc>
      </w:tr>
      <w:tr w:rsidR="00637139" w:rsidRPr="00637139" w14:paraId="0FE927E5" w14:textId="77777777" w:rsidTr="006371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4E238C1" w14:textId="77777777" w:rsidR="00637139" w:rsidRPr="00637139" w:rsidRDefault="00637139" w:rsidP="00637139">
            <w:r w:rsidRPr="00637139">
              <w:t>13</w:t>
            </w:r>
          </w:p>
        </w:tc>
        <w:tc>
          <w:tcPr>
            <w:tcW w:w="4089" w:type="pct"/>
            <w:vAlign w:val="center"/>
          </w:tcPr>
          <w:p w14:paraId="25A82CA4" w14:textId="77777777" w:rsidR="00637139" w:rsidRPr="00637139" w:rsidRDefault="00637139" w:rsidP="00637139">
            <w:pPr>
              <w:cnfStyle w:val="000000100000" w:firstRow="0" w:lastRow="0" w:firstColumn="0" w:lastColumn="0" w:oddVBand="0" w:evenVBand="0" w:oddHBand="1" w:evenHBand="0" w:firstRowFirstColumn="0" w:firstRowLastColumn="0" w:lastRowFirstColumn="0" w:lastRowLastColumn="0"/>
            </w:pPr>
            <w:r w:rsidRPr="00637139">
              <w:t>Aydınlatma yapma ve onam alabilme</w:t>
            </w:r>
          </w:p>
        </w:tc>
        <w:tc>
          <w:tcPr>
            <w:tcW w:w="560" w:type="pct"/>
            <w:vAlign w:val="center"/>
          </w:tcPr>
          <w:p w14:paraId="3FC5520A" w14:textId="77777777" w:rsidR="00637139" w:rsidRPr="00637139" w:rsidRDefault="00637139" w:rsidP="00637139">
            <w:pPr>
              <w:jc w:val="center"/>
              <w:cnfStyle w:val="000000100000" w:firstRow="0" w:lastRow="0" w:firstColumn="0" w:lastColumn="0" w:oddVBand="0" w:evenVBand="0" w:oddHBand="1" w:evenHBand="0" w:firstRowFirstColumn="0" w:firstRowLastColumn="0" w:lastRowFirstColumn="0" w:lastRowLastColumn="0"/>
            </w:pPr>
            <w:r w:rsidRPr="00637139">
              <w:t>3</w:t>
            </w:r>
          </w:p>
        </w:tc>
      </w:tr>
      <w:tr w:rsidR="00637139" w:rsidRPr="00637139" w14:paraId="75A19640" w14:textId="77777777" w:rsidTr="0063713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EAC42FF" w14:textId="77777777" w:rsidR="00637139" w:rsidRPr="00637139" w:rsidRDefault="00637139" w:rsidP="00637139">
            <w:r w:rsidRPr="00637139">
              <w:t>14</w:t>
            </w:r>
          </w:p>
        </w:tc>
        <w:tc>
          <w:tcPr>
            <w:tcW w:w="4089" w:type="pct"/>
            <w:vAlign w:val="center"/>
          </w:tcPr>
          <w:p w14:paraId="3193236E" w14:textId="77777777" w:rsidR="00637139" w:rsidRPr="00637139" w:rsidRDefault="00637139" w:rsidP="00637139">
            <w:pPr>
              <w:cnfStyle w:val="000000000000" w:firstRow="0" w:lastRow="0" w:firstColumn="0" w:lastColumn="0" w:oddVBand="0" w:evenVBand="0" w:oddHBand="0" w:evenHBand="0" w:firstRowFirstColumn="0" w:firstRowLastColumn="0" w:lastRowFirstColumn="0" w:lastRowLastColumn="0"/>
            </w:pPr>
            <w:r w:rsidRPr="00637139">
              <w:t>Reçete düzenleyebilme</w:t>
            </w:r>
          </w:p>
        </w:tc>
        <w:tc>
          <w:tcPr>
            <w:tcW w:w="560" w:type="pct"/>
            <w:vAlign w:val="center"/>
          </w:tcPr>
          <w:p w14:paraId="74C2F0EC" w14:textId="77777777" w:rsidR="00637139" w:rsidRPr="00637139" w:rsidRDefault="00637139" w:rsidP="00637139">
            <w:pPr>
              <w:jc w:val="center"/>
              <w:cnfStyle w:val="000000000000" w:firstRow="0" w:lastRow="0" w:firstColumn="0" w:lastColumn="0" w:oddVBand="0" w:evenVBand="0" w:oddHBand="0" w:evenHBand="0" w:firstRowFirstColumn="0" w:firstRowLastColumn="0" w:lastRowFirstColumn="0" w:lastRowLastColumn="0"/>
            </w:pPr>
            <w:r w:rsidRPr="00637139">
              <w:t>3</w:t>
            </w:r>
          </w:p>
        </w:tc>
      </w:tr>
      <w:tr w:rsidR="00637139" w:rsidRPr="00637139" w14:paraId="33F12BE4" w14:textId="77777777" w:rsidTr="006371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30E13A7" w14:textId="77777777" w:rsidR="00637139" w:rsidRPr="00637139" w:rsidRDefault="00637139" w:rsidP="00637139">
            <w:r w:rsidRPr="00637139">
              <w:t>15</w:t>
            </w:r>
          </w:p>
        </w:tc>
        <w:tc>
          <w:tcPr>
            <w:tcW w:w="4089" w:type="pct"/>
            <w:vAlign w:val="center"/>
          </w:tcPr>
          <w:p w14:paraId="5E14D7FD" w14:textId="77777777" w:rsidR="00637139" w:rsidRPr="00637139" w:rsidRDefault="00637139" w:rsidP="00637139">
            <w:pPr>
              <w:cnfStyle w:val="000000100000" w:firstRow="0" w:lastRow="0" w:firstColumn="0" w:lastColumn="0" w:oddVBand="0" w:evenVBand="0" w:oddHBand="1" w:evenHBand="0" w:firstRowFirstColumn="0" w:firstRowLastColumn="0" w:lastRowFirstColumn="0" w:lastRowLastColumn="0"/>
            </w:pPr>
            <w:r w:rsidRPr="00637139">
              <w:t>El yıkama</w:t>
            </w:r>
          </w:p>
        </w:tc>
        <w:tc>
          <w:tcPr>
            <w:tcW w:w="560" w:type="pct"/>
            <w:vAlign w:val="center"/>
          </w:tcPr>
          <w:p w14:paraId="60AEFB72" w14:textId="77777777" w:rsidR="00637139" w:rsidRPr="00637139" w:rsidRDefault="00637139" w:rsidP="00637139">
            <w:pPr>
              <w:jc w:val="center"/>
              <w:cnfStyle w:val="000000100000" w:firstRow="0" w:lastRow="0" w:firstColumn="0" w:lastColumn="0" w:oddVBand="0" w:evenVBand="0" w:oddHBand="1" w:evenHBand="0" w:firstRowFirstColumn="0" w:firstRowLastColumn="0" w:lastRowFirstColumn="0" w:lastRowLastColumn="0"/>
            </w:pPr>
            <w:r w:rsidRPr="00637139">
              <w:t>3</w:t>
            </w:r>
          </w:p>
        </w:tc>
      </w:tr>
    </w:tbl>
    <w:p w14:paraId="457C0476" w14:textId="75409502" w:rsidR="000D17AB" w:rsidRDefault="000D17AB" w:rsidP="000D17AB">
      <w:pPr>
        <w:spacing w:before="240" w:line="240" w:lineRule="auto"/>
        <w:ind w:firstLine="708"/>
        <w:jc w:val="both"/>
        <w:rPr>
          <w:rFonts w:ascii="Calibri" w:eastAsia="Calibri" w:hAnsi="Calibri" w:cs="Times New Roman"/>
        </w:rPr>
      </w:pPr>
    </w:p>
    <w:p w14:paraId="0941C468"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32"/>
          <w:szCs w:val="26"/>
        </w:rPr>
      </w:pPr>
      <w:bookmarkStart w:id="3" w:name="_Toc73453216"/>
      <w:r w:rsidRPr="000D17AB">
        <w:rPr>
          <w:rFonts w:ascii="Arial" w:eastAsia="Times New Roman" w:hAnsi="Arial" w:cs="Times New Roman"/>
          <w:b/>
          <w:sz w:val="24"/>
          <w:szCs w:val="26"/>
        </w:rPr>
        <w:t>Tutum ve Davranış Değerlendirme</w:t>
      </w:r>
      <w:bookmarkEnd w:id="3"/>
    </w:p>
    <w:p w14:paraId="3B186EA6" w14:textId="77777777" w:rsidR="000D17AB" w:rsidRPr="000D17AB" w:rsidRDefault="000D17AB" w:rsidP="000D17AB">
      <w:pPr>
        <w:spacing w:line="240" w:lineRule="auto"/>
        <w:ind w:firstLine="708"/>
        <w:jc w:val="both"/>
        <w:rPr>
          <w:rFonts w:ascii="Times New Roman" w:eastAsia="Calibri" w:hAnsi="Times New Roman" w:cs="Times New Roman"/>
        </w:rPr>
      </w:pPr>
      <w:r w:rsidRPr="000D17AB">
        <w:rPr>
          <w:rFonts w:ascii="Calibri" w:eastAsia="Calibri" w:hAnsi="Calibri" w:cs="Times New Roman"/>
        </w:rPr>
        <w:t>İntern doktor, hekimlik etiğine uygun tutum ve davranış sergilemelidir. Bu konuda öğretim üyesi değerlendirme yapacaktır ve 5’li sistem (Geliştirilmeli // Yeterli Düzeyde Değil // Yeterli // İyi düzeyde // Mükemmel) üzerinden karar verecektir. Aşağıdaki başlıklarda iyi yönde göze çarpan davranışlar sergilemesi halinde “mükemmel”; sonraki davranışlarındaki eksiklik nedeni ile “yeterli”; kötü yönde göze çarpan davranışlar sergilemesi halinde “geliştirilmeli”; bu davranışın telafi edilmesi halinde “iyi düzeyde” şeklinde puanlama yapılacaktır. Göze çarpan davranış sergilememesi halinde “yeterli” puan verilecektir. Verilen puanlar neticesinde ortalama alınarak, öğretim üyesi tarafından 100 üzerinden puan verilecektir. Geliştirilmeli 0-49 puan; yeterli düzeyde değil 50-59 puan; yeterli 60-74 puan; iyi düzeyde 75-84 puan; mükemmel 85-100 puan üzerinden değerlendirilmelidir.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756"/>
        <w:gridCol w:w="2924"/>
      </w:tblGrid>
      <w:tr w:rsidR="000D17AB" w:rsidRPr="000D17AB" w14:paraId="267412A1" w14:textId="77777777" w:rsidTr="000D17AB">
        <w:trPr>
          <w:trHeight w:val="397"/>
        </w:trPr>
        <w:tc>
          <w:tcPr>
            <w:tcW w:w="2422" w:type="pct"/>
            <w:vAlign w:val="center"/>
          </w:tcPr>
          <w:p w14:paraId="335997DE"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Tutum ve Davranışlar</w:t>
            </w:r>
          </w:p>
        </w:tc>
        <w:tc>
          <w:tcPr>
            <w:tcW w:w="1251" w:type="pct"/>
            <w:vAlign w:val="center"/>
          </w:tcPr>
          <w:p w14:paraId="0F23F705" w14:textId="77777777" w:rsidR="000D17AB" w:rsidRPr="000D17AB" w:rsidRDefault="000D17AB" w:rsidP="000D17AB">
            <w:pPr>
              <w:spacing w:after="0" w:line="240" w:lineRule="auto"/>
              <w:jc w:val="center"/>
              <w:rPr>
                <w:rFonts w:ascii="Calibri" w:eastAsia="Calibri" w:hAnsi="Calibri" w:cs="Times New Roman"/>
                <w:b/>
                <w:bCs/>
              </w:rPr>
            </w:pPr>
            <w:r w:rsidRPr="000D17AB">
              <w:rPr>
                <w:rFonts w:ascii="Calibri" w:eastAsia="Calibri" w:hAnsi="Calibri" w:cs="Times New Roman"/>
                <w:b/>
                <w:bCs/>
              </w:rPr>
              <w:t>Öğrenim Yöntemi</w:t>
            </w:r>
          </w:p>
        </w:tc>
        <w:tc>
          <w:tcPr>
            <w:tcW w:w="1326" w:type="pct"/>
            <w:vAlign w:val="center"/>
          </w:tcPr>
          <w:p w14:paraId="71C82659" w14:textId="77777777" w:rsidR="000D17AB" w:rsidRPr="000D17AB" w:rsidRDefault="000D17AB" w:rsidP="000D17AB">
            <w:pPr>
              <w:spacing w:after="0" w:line="240" w:lineRule="auto"/>
              <w:ind w:left="37"/>
              <w:jc w:val="center"/>
              <w:rPr>
                <w:rFonts w:ascii="Calibri" w:eastAsia="Calibri" w:hAnsi="Calibri" w:cs="Times New Roman"/>
                <w:b/>
                <w:bCs/>
              </w:rPr>
            </w:pPr>
            <w:r w:rsidRPr="000D17AB">
              <w:rPr>
                <w:rFonts w:ascii="Calibri" w:eastAsia="Calibri" w:hAnsi="Calibri" w:cs="Times New Roman"/>
                <w:b/>
                <w:bCs/>
              </w:rPr>
              <w:t>Değerlendirme</w:t>
            </w:r>
          </w:p>
        </w:tc>
      </w:tr>
      <w:tr w:rsidR="000D17AB" w:rsidRPr="000D17AB" w14:paraId="41788592" w14:textId="77777777" w:rsidTr="000D17AB">
        <w:tc>
          <w:tcPr>
            <w:tcW w:w="5000" w:type="pct"/>
            <w:gridSpan w:val="3"/>
            <w:shd w:val="clear" w:color="auto" w:fill="F2F2F2"/>
          </w:tcPr>
          <w:p w14:paraId="4DFB6C5A"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İletişim</w:t>
            </w:r>
          </w:p>
        </w:tc>
      </w:tr>
      <w:tr w:rsidR="000D17AB" w:rsidRPr="000D17AB" w14:paraId="7A9B0305" w14:textId="77777777" w:rsidTr="000D17AB">
        <w:trPr>
          <w:trHeight w:val="680"/>
        </w:trPr>
        <w:tc>
          <w:tcPr>
            <w:tcW w:w="2422" w:type="pct"/>
            <w:vAlign w:val="center"/>
          </w:tcPr>
          <w:p w14:paraId="47A919D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 ile profesyonel iletişim kurar.</w:t>
            </w:r>
          </w:p>
        </w:tc>
        <w:tc>
          <w:tcPr>
            <w:tcW w:w="1251" w:type="pct"/>
            <w:vAlign w:val="center"/>
          </w:tcPr>
          <w:p w14:paraId="3D50305B"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485BED3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9A784B6" w14:textId="77777777" w:rsidR="000D17AB" w:rsidRPr="000D17AB" w:rsidRDefault="000D17AB" w:rsidP="000D17AB">
            <w:pPr>
              <w:spacing w:after="0" w:line="240" w:lineRule="auto"/>
              <w:rPr>
                <w:rFonts w:ascii="Calibri" w:eastAsia="Calibri" w:hAnsi="Calibri" w:cs="Times New Roman"/>
              </w:rPr>
            </w:pPr>
          </w:p>
        </w:tc>
      </w:tr>
      <w:tr w:rsidR="000D17AB" w:rsidRPr="000D17AB" w14:paraId="35190B53" w14:textId="77777777" w:rsidTr="000D17AB">
        <w:trPr>
          <w:trHeight w:val="680"/>
        </w:trPr>
        <w:tc>
          <w:tcPr>
            <w:tcW w:w="2422" w:type="pct"/>
            <w:vAlign w:val="center"/>
          </w:tcPr>
          <w:p w14:paraId="27CFCCE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ve hasta yakınlarından doğru ve geçerli bilgi edinir, kaydeder ve sentezler.</w:t>
            </w:r>
          </w:p>
        </w:tc>
        <w:tc>
          <w:tcPr>
            <w:tcW w:w="1251" w:type="pct"/>
            <w:vAlign w:val="center"/>
          </w:tcPr>
          <w:p w14:paraId="69F49DF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85C398F" w14:textId="77777777" w:rsidR="000D17AB" w:rsidRPr="000D17AB" w:rsidRDefault="000D17AB" w:rsidP="000D17AB">
            <w:pPr>
              <w:spacing w:after="0" w:line="240" w:lineRule="auto"/>
              <w:rPr>
                <w:rFonts w:ascii="Calibri" w:eastAsia="Calibri" w:hAnsi="Calibri" w:cs="Times New Roman"/>
              </w:rPr>
            </w:pPr>
          </w:p>
        </w:tc>
      </w:tr>
      <w:tr w:rsidR="000D17AB" w:rsidRPr="000D17AB" w14:paraId="7B932B32" w14:textId="77777777" w:rsidTr="000D17AB">
        <w:trPr>
          <w:trHeight w:val="680"/>
        </w:trPr>
        <w:tc>
          <w:tcPr>
            <w:tcW w:w="2422" w:type="pct"/>
            <w:vAlign w:val="center"/>
          </w:tcPr>
          <w:p w14:paraId="1CD449F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Hasta bakımı ile ilgili hedefleri ve planları, hasta ve hasta yakınları ile paylaşır, onam alır.</w:t>
            </w:r>
          </w:p>
        </w:tc>
        <w:tc>
          <w:tcPr>
            <w:tcW w:w="1251" w:type="pct"/>
            <w:vAlign w:val="center"/>
          </w:tcPr>
          <w:p w14:paraId="17266844"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377AC2E2" w14:textId="77777777" w:rsidR="000D17AB" w:rsidRPr="000D17AB" w:rsidRDefault="000D17AB" w:rsidP="000D17AB">
            <w:pPr>
              <w:spacing w:after="0" w:line="240" w:lineRule="auto"/>
              <w:rPr>
                <w:rFonts w:ascii="Calibri" w:eastAsia="Calibri" w:hAnsi="Calibri" w:cs="Times New Roman"/>
              </w:rPr>
            </w:pPr>
          </w:p>
        </w:tc>
      </w:tr>
      <w:tr w:rsidR="000D17AB" w:rsidRPr="000D17AB" w14:paraId="36AC543E" w14:textId="77777777" w:rsidTr="000D17AB">
        <w:trPr>
          <w:trHeight w:val="680"/>
        </w:trPr>
        <w:tc>
          <w:tcPr>
            <w:tcW w:w="2422" w:type="pct"/>
            <w:vAlign w:val="center"/>
          </w:tcPr>
          <w:p w14:paraId="57ED07DC"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 bakım planlarının geliştirilmesi sürecine hasta ve hasta yakınlarının katılımını teşvik eder.</w:t>
            </w:r>
          </w:p>
        </w:tc>
        <w:tc>
          <w:tcPr>
            <w:tcW w:w="1251" w:type="pct"/>
            <w:vAlign w:val="center"/>
          </w:tcPr>
          <w:p w14:paraId="3B5375F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0BE04B10" w14:textId="77777777" w:rsidR="000D17AB" w:rsidRPr="000D17AB" w:rsidRDefault="000D17AB" w:rsidP="000D17AB">
            <w:pPr>
              <w:spacing w:after="0" w:line="240" w:lineRule="auto"/>
              <w:rPr>
                <w:rFonts w:ascii="Calibri" w:eastAsia="Calibri" w:hAnsi="Calibri" w:cs="Times New Roman"/>
              </w:rPr>
            </w:pPr>
          </w:p>
        </w:tc>
      </w:tr>
      <w:tr w:rsidR="000D17AB" w:rsidRPr="000D17AB" w14:paraId="52E0BB2F" w14:textId="77777777" w:rsidTr="000D17AB">
        <w:trPr>
          <w:trHeight w:val="680"/>
        </w:trPr>
        <w:tc>
          <w:tcPr>
            <w:tcW w:w="2422" w:type="pct"/>
            <w:vAlign w:val="center"/>
          </w:tcPr>
          <w:p w14:paraId="0C28A78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Tıbbi görüşmelere ilişkin yazılı ve elektronik bilgileri belgeler ve uygun şekilde paylaşır.</w:t>
            </w:r>
          </w:p>
        </w:tc>
        <w:tc>
          <w:tcPr>
            <w:tcW w:w="1251" w:type="pct"/>
            <w:vAlign w:val="center"/>
          </w:tcPr>
          <w:p w14:paraId="0EB02A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1769DA19" w14:textId="77777777" w:rsidR="000D17AB" w:rsidRPr="000D17AB" w:rsidRDefault="000D17AB" w:rsidP="000D17AB">
            <w:pPr>
              <w:spacing w:after="0" w:line="240" w:lineRule="auto"/>
              <w:rPr>
                <w:rFonts w:ascii="Calibri" w:eastAsia="Calibri" w:hAnsi="Calibri" w:cs="Times New Roman"/>
              </w:rPr>
            </w:pPr>
          </w:p>
        </w:tc>
      </w:tr>
      <w:tr w:rsidR="000D17AB" w:rsidRPr="000D17AB" w14:paraId="3F0E41E2" w14:textId="77777777" w:rsidTr="000D17AB">
        <w:trPr>
          <w:trHeight w:val="680"/>
        </w:trPr>
        <w:tc>
          <w:tcPr>
            <w:tcW w:w="2422" w:type="pct"/>
            <w:vAlign w:val="center"/>
          </w:tcPr>
          <w:p w14:paraId="1279EC91"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elemanları ile etkili iletişim kurar.</w:t>
            </w:r>
          </w:p>
        </w:tc>
        <w:tc>
          <w:tcPr>
            <w:tcW w:w="1251" w:type="pct"/>
            <w:vAlign w:val="center"/>
          </w:tcPr>
          <w:p w14:paraId="6A753F2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F03C7A1" w14:textId="77777777" w:rsidR="000D17AB" w:rsidRPr="000D17AB" w:rsidRDefault="000D17AB" w:rsidP="000D17AB">
            <w:pPr>
              <w:spacing w:after="0" w:line="240" w:lineRule="auto"/>
              <w:rPr>
                <w:rFonts w:ascii="Calibri" w:eastAsia="Calibri" w:hAnsi="Calibri" w:cs="Times New Roman"/>
              </w:rPr>
            </w:pPr>
          </w:p>
        </w:tc>
      </w:tr>
      <w:tr w:rsidR="000D17AB" w:rsidRPr="000D17AB" w14:paraId="6E3CF8DB" w14:textId="77777777" w:rsidTr="000D17AB">
        <w:tc>
          <w:tcPr>
            <w:tcW w:w="5000" w:type="pct"/>
            <w:gridSpan w:val="3"/>
            <w:shd w:val="clear" w:color="auto" w:fill="F2F2F2"/>
            <w:vAlign w:val="center"/>
          </w:tcPr>
          <w:p w14:paraId="21023F2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Ekip Üyeliği</w:t>
            </w:r>
          </w:p>
        </w:tc>
      </w:tr>
      <w:tr w:rsidR="000D17AB" w:rsidRPr="000D17AB" w14:paraId="1548573E" w14:textId="77777777" w:rsidTr="000D17AB">
        <w:trPr>
          <w:trHeight w:val="680"/>
        </w:trPr>
        <w:tc>
          <w:tcPr>
            <w:tcW w:w="2422" w:type="pct"/>
            <w:vAlign w:val="center"/>
          </w:tcPr>
          <w:p w14:paraId="3423CCEA"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Meslektaşları ve diğer sağlık çalışanları ile ekip olarak çalışır.</w:t>
            </w:r>
          </w:p>
        </w:tc>
        <w:tc>
          <w:tcPr>
            <w:tcW w:w="1251" w:type="pct"/>
            <w:vAlign w:val="center"/>
          </w:tcPr>
          <w:p w14:paraId="5C79017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29398DD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20025A21" w14:textId="77777777" w:rsidR="000D17AB" w:rsidRPr="000D17AB" w:rsidRDefault="000D17AB" w:rsidP="000D17AB">
            <w:pPr>
              <w:spacing w:after="0" w:line="240" w:lineRule="auto"/>
              <w:rPr>
                <w:rFonts w:ascii="Calibri" w:eastAsia="Calibri" w:hAnsi="Calibri" w:cs="Times New Roman"/>
              </w:rPr>
            </w:pPr>
          </w:p>
        </w:tc>
      </w:tr>
      <w:tr w:rsidR="000D17AB" w:rsidRPr="000D17AB" w14:paraId="5A1211BE" w14:textId="77777777" w:rsidTr="000D17AB">
        <w:trPr>
          <w:trHeight w:val="680"/>
        </w:trPr>
        <w:tc>
          <w:tcPr>
            <w:tcW w:w="2422" w:type="pct"/>
            <w:vAlign w:val="center"/>
          </w:tcPr>
          <w:p w14:paraId="1347A24B"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Ekip içinde yanlış anlamaları önlemek, farklılıkları yönetmek ve çatışmaları gidermek için meslektaşları ve diğer sağlık çalışanlarıyla birlikte, etiğe uygun çalışır.</w:t>
            </w:r>
          </w:p>
        </w:tc>
        <w:tc>
          <w:tcPr>
            <w:tcW w:w="1251" w:type="pct"/>
            <w:vAlign w:val="center"/>
          </w:tcPr>
          <w:p w14:paraId="3E29D6A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661BF850" w14:textId="77777777" w:rsidR="000D17AB" w:rsidRPr="000D17AB" w:rsidRDefault="000D17AB" w:rsidP="000D17AB">
            <w:pPr>
              <w:spacing w:after="0" w:line="240" w:lineRule="auto"/>
              <w:rPr>
                <w:rFonts w:ascii="Calibri" w:eastAsia="Calibri" w:hAnsi="Calibri" w:cs="Times New Roman"/>
              </w:rPr>
            </w:pPr>
          </w:p>
        </w:tc>
      </w:tr>
      <w:tr w:rsidR="000D17AB" w:rsidRPr="000D17AB" w14:paraId="629E93DF" w14:textId="77777777" w:rsidTr="000D17AB">
        <w:trPr>
          <w:trHeight w:val="680"/>
        </w:trPr>
        <w:tc>
          <w:tcPr>
            <w:tcW w:w="2422" w:type="pct"/>
            <w:vAlign w:val="center"/>
          </w:tcPr>
          <w:p w14:paraId="023F897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 bakımını gerektiğinde etkili ve güvenli bir şekilde devreder.</w:t>
            </w:r>
          </w:p>
        </w:tc>
        <w:tc>
          <w:tcPr>
            <w:tcW w:w="1251" w:type="pct"/>
            <w:vAlign w:val="center"/>
          </w:tcPr>
          <w:p w14:paraId="5A89026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552E0C66" w14:textId="77777777" w:rsidR="000D17AB" w:rsidRPr="000D17AB" w:rsidRDefault="000D17AB" w:rsidP="000D17AB">
            <w:pPr>
              <w:spacing w:after="0" w:line="240" w:lineRule="auto"/>
              <w:rPr>
                <w:rFonts w:ascii="Calibri" w:eastAsia="Calibri" w:hAnsi="Calibri" w:cs="Times New Roman"/>
              </w:rPr>
            </w:pPr>
          </w:p>
        </w:tc>
      </w:tr>
      <w:tr w:rsidR="000D17AB" w:rsidRPr="000D17AB" w14:paraId="0AD41110" w14:textId="77777777" w:rsidTr="000D17AB">
        <w:tc>
          <w:tcPr>
            <w:tcW w:w="5000" w:type="pct"/>
            <w:gridSpan w:val="3"/>
            <w:shd w:val="clear" w:color="auto" w:fill="F2F2F2"/>
            <w:vAlign w:val="center"/>
          </w:tcPr>
          <w:p w14:paraId="789BC4A6"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Liderlik</w:t>
            </w:r>
          </w:p>
        </w:tc>
      </w:tr>
      <w:tr w:rsidR="000D17AB" w:rsidRPr="000D17AB" w14:paraId="19621AE7" w14:textId="77777777" w:rsidTr="000D17AB">
        <w:trPr>
          <w:trHeight w:val="680"/>
        </w:trPr>
        <w:tc>
          <w:tcPr>
            <w:tcW w:w="2422" w:type="pct"/>
            <w:vAlign w:val="center"/>
          </w:tcPr>
          <w:p w14:paraId="049F56ED"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Bireysel ve mesleki yeterliklerini değerlendirir ve geliştirir</w:t>
            </w:r>
          </w:p>
        </w:tc>
        <w:tc>
          <w:tcPr>
            <w:tcW w:w="1251" w:type="pct"/>
            <w:vAlign w:val="center"/>
          </w:tcPr>
          <w:p w14:paraId="6FD679D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20D32B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1F5EF823" w14:textId="77777777" w:rsidR="000D17AB" w:rsidRPr="000D17AB" w:rsidRDefault="000D17AB" w:rsidP="000D17AB">
            <w:pPr>
              <w:spacing w:after="0" w:line="240" w:lineRule="auto"/>
              <w:rPr>
                <w:rFonts w:ascii="Calibri" w:eastAsia="Calibri" w:hAnsi="Calibri" w:cs="Times New Roman"/>
              </w:rPr>
            </w:pPr>
          </w:p>
        </w:tc>
      </w:tr>
      <w:tr w:rsidR="000D17AB" w:rsidRPr="000D17AB" w14:paraId="4439F7F7" w14:textId="77777777" w:rsidTr="000D17AB">
        <w:tc>
          <w:tcPr>
            <w:tcW w:w="5000" w:type="pct"/>
            <w:gridSpan w:val="3"/>
            <w:shd w:val="clear" w:color="auto" w:fill="F2F2F2"/>
            <w:vAlign w:val="center"/>
          </w:tcPr>
          <w:p w14:paraId="63AECEA2"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Sağlık Savunucusu</w:t>
            </w:r>
          </w:p>
        </w:tc>
      </w:tr>
      <w:tr w:rsidR="000D17AB" w:rsidRPr="000D17AB" w14:paraId="60D4980F" w14:textId="77777777" w:rsidTr="000D17AB">
        <w:tc>
          <w:tcPr>
            <w:tcW w:w="2422" w:type="pct"/>
            <w:vAlign w:val="center"/>
          </w:tcPr>
          <w:p w14:paraId="7EEA93C5"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 xml:space="preserve">Bireysel ve toplumsal düzeyde sağlığa etki eden biyolojik, </w:t>
            </w:r>
            <w:r w:rsidRPr="000D17AB">
              <w:rPr>
                <w:rFonts w:ascii="Calibri" w:eastAsia="Calibri" w:hAnsi="Calibri" w:cs="Times New Roman"/>
              </w:rPr>
              <w:lastRenderedPageBreak/>
              <w:t xml:space="preserve">psikolojik, sosyal, kültürel ve ekonomik faktörleri belirler ve izler. </w:t>
            </w:r>
          </w:p>
        </w:tc>
        <w:tc>
          <w:tcPr>
            <w:tcW w:w="1251" w:type="pct"/>
            <w:vAlign w:val="center"/>
          </w:tcPr>
          <w:p w14:paraId="0833F2F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lastRenderedPageBreak/>
              <w:t>Hasta vizitesi,</w:t>
            </w:r>
          </w:p>
          <w:p w14:paraId="4BFDA8A7"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lastRenderedPageBreak/>
              <w:t>İş başında öğrenme</w:t>
            </w:r>
          </w:p>
        </w:tc>
        <w:tc>
          <w:tcPr>
            <w:tcW w:w="1326" w:type="pct"/>
          </w:tcPr>
          <w:p w14:paraId="5D3BF937" w14:textId="77777777" w:rsidR="000D17AB" w:rsidRPr="000D17AB" w:rsidRDefault="000D17AB" w:rsidP="000D17AB">
            <w:pPr>
              <w:spacing w:after="0" w:line="240" w:lineRule="auto"/>
              <w:rPr>
                <w:rFonts w:ascii="Calibri" w:eastAsia="Calibri" w:hAnsi="Calibri" w:cs="Times New Roman"/>
              </w:rPr>
            </w:pPr>
          </w:p>
        </w:tc>
      </w:tr>
      <w:tr w:rsidR="000D17AB" w:rsidRPr="000D17AB" w14:paraId="4801F57E" w14:textId="77777777" w:rsidTr="000D17AB">
        <w:tc>
          <w:tcPr>
            <w:tcW w:w="2422" w:type="pct"/>
            <w:vAlign w:val="center"/>
          </w:tcPr>
          <w:p w14:paraId="56DA529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Tüm sağlık bakım süreçlerinde sağlığın korunması, geliştirilmesi ve hastalıkların önlenmesi yaklaşımına öncelik verir ve aktif rol üstlenir.</w:t>
            </w:r>
          </w:p>
        </w:tc>
        <w:tc>
          <w:tcPr>
            <w:tcW w:w="1251" w:type="pct"/>
            <w:vAlign w:val="center"/>
          </w:tcPr>
          <w:p w14:paraId="109E335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20250A1E" w14:textId="77777777" w:rsidR="000D17AB" w:rsidRPr="000D17AB" w:rsidRDefault="000D17AB" w:rsidP="000D17AB">
            <w:pPr>
              <w:spacing w:after="0" w:line="240" w:lineRule="auto"/>
              <w:rPr>
                <w:rFonts w:ascii="Calibri" w:eastAsia="Calibri" w:hAnsi="Calibri" w:cs="Times New Roman"/>
              </w:rPr>
            </w:pPr>
          </w:p>
        </w:tc>
      </w:tr>
      <w:tr w:rsidR="000D17AB" w:rsidRPr="000D17AB" w14:paraId="7241FFEB" w14:textId="77777777" w:rsidTr="000D17AB">
        <w:tc>
          <w:tcPr>
            <w:tcW w:w="5000" w:type="pct"/>
            <w:gridSpan w:val="3"/>
            <w:shd w:val="clear" w:color="auto" w:fill="F2F2F2"/>
            <w:vAlign w:val="center"/>
          </w:tcPr>
          <w:p w14:paraId="0E33BF63"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Bilimsellik</w:t>
            </w:r>
          </w:p>
        </w:tc>
      </w:tr>
      <w:tr w:rsidR="000D17AB" w:rsidRPr="000D17AB" w14:paraId="5568C62D" w14:textId="77777777" w:rsidTr="000D17AB">
        <w:trPr>
          <w:trHeight w:val="680"/>
        </w:trPr>
        <w:tc>
          <w:tcPr>
            <w:tcW w:w="2422" w:type="pct"/>
            <w:vAlign w:val="center"/>
          </w:tcPr>
          <w:p w14:paraId="6903DB19"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Sürekli öğrenme yoluyla mesleki performansını geliştirir, araştırmacı kişilik sergiler.</w:t>
            </w:r>
          </w:p>
        </w:tc>
        <w:tc>
          <w:tcPr>
            <w:tcW w:w="1251" w:type="pct"/>
            <w:vAlign w:val="center"/>
          </w:tcPr>
          <w:p w14:paraId="53F92A51"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18D95645"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p w14:paraId="64CF5DAC"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Sunum</w:t>
            </w:r>
          </w:p>
        </w:tc>
        <w:tc>
          <w:tcPr>
            <w:tcW w:w="1326" w:type="pct"/>
            <w:vAlign w:val="center"/>
          </w:tcPr>
          <w:p w14:paraId="024969B4" w14:textId="77777777" w:rsidR="000D17AB" w:rsidRPr="000D17AB" w:rsidRDefault="000D17AB" w:rsidP="000D17AB">
            <w:pPr>
              <w:spacing w:after="0" w:line="240" w:lineRule="auto"/>
              <w:rPr>
                <w:rFonts w:ascii="Calibri" w:eastAsia="Calibri" w:hAnsi="Calibri" w:cs="Times New Roman"/>
              </w:rPr>
            </w:pPr>
          </w:p>
        </w:tc>
      </w:tr>
      <w:tr w:rsidR="000D17AB" w:rsidRPr="000D17AB" w14:paraId="3685B5E3" w14:textId="77777777" w:rsidTr="000D17AB">
        <w:trPr>
          <w:trHeight w:val="680"/>
        </w:trPr>
        <w:tc>
          <w:tcPr>
            <w:tcW w:w="2422" w:type="pct"/>
            <w:vAlign w:val="center"/>
          </w:tcPr>
          <w:p w14:paraId="2F879780"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uygulamalarında var olan en iyi kanıtları toplar ve karar verme süreçlerinde kullanır.</w:t>
            </w:r>
          </w:p>
        </w:tc>
        <w:tc>
          <w:tcPr>
            <w:tcW w:w="1251" w:type="pct"/>
            <w:vAlign w:val="center"/>
          </w:tcPr>
          <w:p w14:paraId="7FCBCA3C" w14:textId="77777777" w:rsidR="000D17AB" w:rsidRPr="000D17AB" w:rsidRDefault="000D17AB" w:rsidP="000D17AB">
            <w:pPr>
              <w:spacing w:after="0" w:line="240" w:lineRule="auto"/>
              <w:jc w:val="center"/>
              <w:rPr>
                <w:rFonts w:ascii="Calibri" w:eastAsia="Calibri" w:hAnsi="Calibri" w:cs="Times New Roman"/>
              </w:rPr>
            </w:pPr>
          </w:p>
        </w:tc>
        <w:tc>
          <w:tcPr>
            <w:tcW w:w="1326" w:type="pct"/>
            <w:vAlign w:val="center"/>
          </w:tcPr>
          <w:p w14:paraId="481A5D9A" w14:textId="77777777" w:rsidR="000D17AB" w:rsidRPr="000D17AB" w:rsidRDefault="000D17AB" w:rsidP="000D17AB">
            <w:pPr>
              <w:spacing w:after="0" w:line="240" w:lineRule="auto"/>
              <w:rPr>
                <w:rFonts w:ascii="Calibri" w:eastAsia="Calibri" w:hAnsi="Calibri" w:cs="Times New Roman"/>
              </w:rPr>
            </w:pPr>
          </w:p>
        </w:tc>
      </w:tr>
      <w:tr w:rsidR="000D17AB" w:rsidRPr="000D17AB" w14:paraId="361F4F5E" w14:textId="77777777" w:rsidTr="000D17AB">
        <w:trPr>
          <w:trHeight w:val="680"/>
        </w:trPr>
        <w:tc>
          <w:tcPr>
            <w:tcW w:w="2422" w:type="pct"/>
            <w:vAlign w:val="center"/>
          </w:tcPr>
          <w:p w14:paraId="429F903E"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Sağlıkla ilgili araştırma ve literatürün doğruluğunu, güvenirliliğini ve uygulanabilirliğini değerlendirir.</w:t>
            </w:r>
          </w:p>
        </w:tc>
        <w:tc>
          <w:tcPr>
            <w:tcW w:w="1251" w:type="pct"/>
            <w:vAlign w:val="center"/>
          </w:tcPr>
          <w:p w14:paraId="7E6D7F00"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vAlign w:val="center"/>
          </w:tcPr>
          <w:p w14:paraId="49AE1318" w14:textId="77777777" w:rsidR="000D17AB" w:rsidRPr="000D17AB" w:rsidRDefault="000D17AB" w:rsidP="000D17AB">
            <w:pPr>
              <w:spacing w:after="0" w:line="240" w:lineRule="auto"/>
              <w:rPr>
                <w:rFonts w:ascii="Calibri" w:eastAsia="Calibri" w:hAnsi="Calibri" w:cs="Times New Roman"/>
              </w:rPr>
            </w:pPr>
          </w:p>
        </w:tc>
      </w:tr>
      <w:tr w:rsidR="000D17AB" w:rsidRPr="000D17AB" w14:paraId="00D93006" w14:textId="77777777" w:rsidTr="000D17AB">
        <w:tc>
          <w:tcPr>
            <w:tcW w:w="5000" w:type="pct"/>
            <w:gridSpan w:val="3"/>
            <w:shd w:val="clear" w:color="auto" w:fill="F2F2F2"/>
            <w:vAlign w:val="center"/>
          </w:tcPr>
          <w:p w14:paraId="6A34A635" w14:textId="77777777" w:rsidR="000D17AB" w:rsidRPr="000D17AB" w:rsidRDefault="000D17AB" w:rsidP="000D17AB">
            <w:pPr>
              <w:spacing w:after="0" w:line="240" w:lineRule="auto"/>
              <w:rPr>
                <w:rFonts w:ascii="Calibri" w:eastAsia="Calibri" w:hAnsi="Calibri" w:cs="Times New Roman"/>
                <w:b/>
                <w:bCs/>
              </w:rPr>
            </w:pPr>
            <w:r w:rsidRPr="000D17AB">
              <w:rPr>
                <w:rFonts w:ascii="Calibri" w:eastAsia="Calibri" w:hAnsi="Calibri" w:cs="Times New Roman"/>
                <w:b/>
                <w:bCs/>
              </w:rPr>
              <w:t>Profesyonellik</w:t>
            </w:r>
          </w:p>
        </w:tc>
      </w:tr>
      <w:tr w:rsidR="000D17AB" w:rsidRPr="000D17AB" w14:paraId="6488D7E0" w14:textId="77777777" w:rsidTr="000D17AB">
        <w:trPr>
          <w:trHeight w:val="971"/>
        </w:trPr>
        <w:tc>
          <w:tcPr>
            <w:tcW w:w="2422" w:type="pct"/>
            <w:vAlign w:val="center"/>
          </w:tcPr>
          <w:p w14:paraId="271417D2"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Mesleki uygulamalarını etik ilkelere ve değerlere bağlı kalarak uygular</w:t>
            </w:r>
          </w:p>
        </w:tc>
        <w:tc>
          <w:tcPr>
            <w:tcW w:w="1251" w:type="pct"/>
            <w:vAlign w:val="center"/>
          </w:tcPr>
          <w:p w14:paraId="48E28B43"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Hasta vizitesi,</w:t>
            </w:r>
          </w:p>
          <w:p w14:paraId="3605629E"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İş başında öğrenme</w:t>
            </w:r>
          </w:p>
        </w:tc>
        <w:tc>
          <w:tcPr>
            <w:tcW w:w="1326" w:type="pct"/>
          </w:tcPr>
          <w:p w14:paraId="07A51E52" w14:textId="77777777" w:rsidR="000D17AB" w:rsidRPr="000D17AB" w:rsidRDefault="000D17AB" w:rsidP="000D17AB">
            <w:pPr>
              <w:spacing w:after="0" w:line="240" w:lineRule="auto"/>
              <w:rPr>
                <w:rFonts w:ascii="Calibri" w:eastAsia="Calibri" w:hAnsi="Calibri" w:cs="Times New Roman"/>
              </w:rPr>
            </w:pPr>
          </w:p>
        </w:tc>
      </w:tr>
      <w:tr w:rsidR="000D17AB" w:rsidRPr="000D17AB" w14:paraId="428934FF" w14:textId="77777777" w:rsidTr="000D17AB">
        <w:tc>
          <w:tcPr>
            <w:tcW w:w="2422" w:type="pct"/>
          </w:tcPr>
          <w:p w14:paraId="70CE8D08" w14:textId="77777777" w:rsidR="000D17AB" w:rsidRPr="000D17AB" w:rsidRDefault="000D17AB" w:rsidP="000D17AB">
            <w:pPr>
              <w:spacing w:after="0" w:line="240" w:lineRule="auto"/>
              <w:rPr>
                <w:rFonts w:ascii="Calibri" w:eastAsia="Calibri" w:hAnsi="Calibri" w:cs="Times New Roman"/>
              </w:rPr>
            </w:pPr>
            <w:r w:rsidRPr="000D17AB">
              <w:rPr>
                <w:rFonts w:ascii="Calibri" w:eastAsia="Calibri" w:hAnsi="Calibri" w:cs="Times New Roman"/>
              </w:rPr>
              <w:t>Mesleksel ve etik ilkelere, uygulama standartlarına ve ilgili mevzuata uygun davranır ve etik dışı davranışlara tepki gösterir</w:t>
            </w:r>
          </w:p>
        </w:tc>
        <w:tc>
          <w:tcPr>
            <w:tcW w:w="1251" w:type="pct"/>
            <w:vAlign w:val="center"/>
          </w:tcPr>
          <w:p w14:paraId="3F0551E2" w14:textId="77777777" w:rsidR="000D17AB" w:rsidRPr="000D17AB" w:rsidRDefault="000D17AB" w:rsidP="000D17AB">
            <w:pPr>
              <w:spacing w:after="0" w:line="240" w:lineRule="auto"/>
              <w:jc w:val="center"/>
              <w:rPr>
                <w:rFonts w:ascii="Calibri" w:eastAsia="Calibri" w:hAnsi="Calibri" w:cs="Times New Roman"/>
              </w:rPr>
            </w:pPr>
            <w:r w:rsidRPr="000D17AB">
              <w:rPr>
                <w:rFonts w:ascii="Calibri" w:eastAsia="Calibri" w:hAnsi="Calibri" w:cs="Times New Roman"/>
              </w:rPr>
              <w:t>“</w:t>
            </w:r>
          </w:p>
        </w:tc>
        <w:tc>
          <w:tcPr>
            <w:tcW w:w="1326" w:type="pct"/>
          </w:tcPr>
          <w:p w14:paraId="4A232D2F" w14:textId="77777777" w:rsidR="000D17AB" w:rsidRPr="000D17AB" w:rsidRDefault="000D17AB" w:rsidP="000D17AB">
            <w:pPr>
              <w:spacing w:after="0" w:line="240" w:lineRule="auto"/>
              <w:rPr>
                <w:rFonts w:ascii="Calibri" w:eastAsia="Calibri" w:hAnsi="Calibri" w:cs="Times New Roman"/>
              </w:rPr>
            </w:pPr>
          </w:p>
        </w:tc>
      </w:tr>
    </w:tbl>
    <w:p w14:paraId="24C2FB12" w14:textId="77777777" w:rsidR="000D17AB" w:rsidRPr="000D17AB" w:rsidRDefault="000D17AB" w:rsidP="000D17AB">
      <w:pPr>
        <w:spacing w:after="0" w:line="240" w:lineRule="auto"/>
        <w:rPr>
          <w:rFonts w:ascii="Times New Roman" w:eastAsia="Calibri" w:hAnsi="Times New Roman" w:cs="Times New Roman"/>
        </w:rPr>
      </w:pPr>
    </w:p>
    <w:sectPr w:rsidR="000D17AB" w:rsidRP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AA14D" w14:textId="77777777" w:rsidR="0038283A" w:rsidRDefault="0038283A" w:rsidP="002A445D">
      <w:pPr>
        <w:spacing w:after="0" w:line="240" w:lineRule="auto"/>
      </w:pPr>
      <w:r>
        <w:separator/>
      </w:r>
    </w:p>
  </w:endnote>
  <w:endnote w:type="continuationSeparator" w:id="0">
    <w:p w14:paraId="7C6E53EB" w14:textId="77777777" w:rsidR="0038283A" w:rsidRDefault="0038283A"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3555" w14:textId="77777777" w:rsidR="0038283A" w:rsidRDefault="0038283A" w:rsidP="002A445D">
      <w:pPr>
        <w:spacing w:after="0" w:line="240" w:lineRule="auto"/>
      </w:pPr>
      <w:r>
        <w:separator/>
      </w:r>
    </w:p>
  </w:footnote>
  <w:footnote w:type="continuationSeparator" w:id="0">
    <w:p w14:paraId="276C935D" w14:textId="77777777" w:rsidR="0038283A" w:rsidRDefault="0038283A"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F66DA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4C0BF4"/>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1B6488"/>
    <w:multiLevelType w:val="hybridMultilevel"/>
    <w:tmpl w:val="AB267766"/>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4FDC66FA"/>
    <w:multiLevelType w:val="hybridMultilevel"/>
    <w:tmpl w:val="AB267766"/>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394575"/>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7C76A3D"/>
    <w:multiLevelType w:val="hybridMultilevel"/>
    <w:tmpl w:val="2886F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84275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6"/>
  </w:num>
  <w:num w:numId="3">
    <w:abstractNumId w:val="13"/>
  </w:num>
  <w:num w:numId="4">
    <w:abstractNumId w:val="6"/>
  </w:num>
  <w:num w:numId="5">
    <w:abstractNumId w:val="10"/>
  </w:num>
  <w:num w:numId="6">
    <w:abstractNumId w:val="0"/>
  </w:num>
  <w:num w:numId="7">
    <w:abstractNumId w:val="4"/>
  </w:num>
  <w:num w:numId="8">
    <w:abstractNumId w:val="9"/>
  </w:num>
  <w:num w:numId="9">
    <w:abstractNumId w:val="3"/>
  </w:num>
  <w:num w:numId="10">
    <w:abstractNumId w:val="1"/>
  </w:num>
  <w:num w:numId="11">
    <w:abstractNumId w:val="2"/>
  </w:num>
  <w:num w:numId="12">
    <w:abstractNumId w:val="8"/>
  </w:num>
  <w:num w:numId="13">
    <w:abstractNumId w:val="17"/>
  </w:num>
  <w:num w:numId="14">
    <w:abstractNumId w:val="14"/>
  </w:num>
  <w:num w:numId="15">
    <w:abstractNumId w:val="18"/>
  </w:num>
  <w:num w:numId="16">
    <w:abstractNumId w:val="7"/>
  </w:num>
  <w:num w:numId="17">
    <w:abstractNumId w:val="1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50BAB"/>
    <w:rsid w:val="00090FDE"/>
    <w:rsid w:val="000B74BD"/>
    <w:rsid w:val="000C10EB"/>
    <w:rsid w:val="000C4D65"/>
    <w:rsid w:val="000D17AB"/>
    <w:rsid w:val="000F2DE7"/>
    <w:rsid w:val="00150766"/>
    <w:rsid w:val="00151CFC"/>
    <w:rsid w:val="00156584"/>
    <w:rsid w:val="001A1ACA"/>
    <w:rsid w:val="001C5EA6"/>
    <w:rsid w:val="00217BD0"/>
    <w:rsid w:val="0022157D"/>
    <w:rsid w:val="0022208E"/>
    <w:rsid w:val="00240270"/>
    <w:rsid w:val="00241C2C"/>
    <w:rsid w:val="00245F50"/>
    <w:rsid w:val="002635FE"/>
    <w:rsid w:val="00276705"/>
    <w:rsid w:val="00285516"/>
    <w:rsid w:val="00285BAA"/>
    <w:rsid w:val="00290FBA"/>
    <w:rsid w:val="002A445D"/>
    <w:rsid w:val="002A5540"/>
    <w:rsid w:val="002A5575"/>
    <w:rsid w:val="002B31C9"/>
    <w:rsid w:val="003071E9"/>
    <w:rsid w:val="003079D6"/>
    <w:rsid w:val="00347523"/>
    <w:rsid w:val="00355220"/>
    <w:rsid w:val="003702C6"/>
    <w:rsid w:val="0038283A"/>
    <w:rsid w:val="00391BF3"/>
    <w:rsid w:val="00392710"/>
    <w:rsid w:val="003A2AC9"/>
    <w:rsid w:val="00405D7C"/>
    <w:rsid w:val="0044371B"/>
    <w:rsid w:val="004465BC"/>
    <w:rsid w:val="004C4FC1"/>
    <w:rsid w:val="004C5C78"/>
    <w:rsid w:val="004F51EF"/>
    <w:rsid w:val="00504395"/>
    <w:rsid w:val="00526DB4"/>
    <w:rsid w:val="00537DF7"/>
    <w:rsid w:val="00543C28"/>
    <w:rsid w:val="005808D8"/>
    <w:rsid w:val="005A18C0"/>
    <w:rsid w:val="005C2851"/>
    <w:rsid w:val="005D1C8E"/>
    <w:rsid w:val="005E4688"/>
    <w:rsid w:val="005F455B"/>
    <w:rsid w:val="006114F7"/>
    <w:rsid w:val="00621201"/>
    <w:rsid w:val="00637139"/>
    <w:rsid w:val="00670126"/>
    <w:rsid w:val="006B4939"/>
    <w:rsid w:val="006C0138"/>
    <w:rsid w:val="006C3F21"/>
    <w:rsid w:val="007002FA"/>
    <w:rsid w:val="00726BFC"/>
    <w:rsid w:val="00731390"/>
    <w:rsid w:val="00784CA1"/>
    <w:rsid w:val="00791036"/>
    <w:rsid w:val="007B5793"/>
    <w:rsid w:val="007D08CF"/>
    <w:rsid w:val="007D780D"/>
    <w:rsid w:val="007E6AE4"/>
    <w:rsid w:val="007E6CB5"/>
    <w:rsid w:val="008308D8"/>
    <w:rsid w:val="00833E92"/>
    <w:rsid w:val="00835522"/>
    <w:rsid w:val="008609B9"/>
    <w:rsid w:val="00860F48"/>
    <w:rsid w:val="008624D2"/>
    <w:rsid w:val="0087705E"/>
    <w:rsid w:val="008A0AE5"/>
    <w:rsid w:val="008A1E63"/>
    <w:rsid w:val="008E5B5A"/>
    <w:rsid w:val="00940DC7"/>
    <w:rsid w:val="00975598"/>
    <w:rsid w:val="009966DE"/>
    <w:rsid w:val="009A1EB8"/>
    <w:rsid w:val="009D2C41"/>
    <w:rsid w:val="009E4703"/>
    <w:rsid w:val="009F2F7C"/>
    <w:rsid w:val="00A00C0F"/>
    <w:rsid w:val="00A56D5F"/>
    <w:rsid w:val="00A64FA3"/>
    <w:rsid w:val="00A7283E"/>
    <w:rsid w:val="00A77F90"/>
    <w:rsid w:val="00B1079C"/>
    <w:rsid w:val="00B1104B"/>
    <w:rsid w:val="00B26490"/>
    <w:rsid w:val="00B35E6F"/>
    <w:rsid w:val="00B41478"/>
    <w:rsid w:val="00B73527"/>
    <w:rsid w:val="00BC47D1"/>
    <w:rsid w:val="00BD546F"/>
    <w:rsid w:val="00BE2231"/>
    <w:rsid w:val="00C14813"/>
    <w:rsid w:val="00C24188"/>
    <w:rsid w:val="00C424A0"/>
    <w:rsid w:val="00C60610"/>
    <w:rsid w:val="00CA2F69"/>
    <w:rsid w:val="00CB4C13"/>
    <w:rsid w:val="00CC1B2F"/>
    <w:rsid w:val="00CD31EE"/>
    <w:rsid w:val="00D27CCF"/>
    <w:rsid w:val="00D408C5"/>
    <w:rsid w:val="00D5562E"/>
    <w:rsid w:val="00DB7F60"/>
    <w:rsid w:val="00DE6AA4"/>
    <w:rsid w:val="00DF371E"/>
    <w:rsid w:val="00E163E9"/>
    <w:rsid w:val="00E26B84"/>
    <w:rsid w:val="00E47AFF"/>
    <w:rsid w:val="00E563DE"/>
    <w:rsid w:val="00E937DF"/>
    <w:rsid w:val="00EA27AE"/>
    <w:rsid w:val="00EA61C5"/>
    <w:rsid w:val="00EB1BE8"/>
    <w:rsid w:val="00EB562E"/>
    <w:rsid w:val="00EC5B4C"/>
    <w:rsid w:val="00F13310"/>
    <w:rsid w:val="00F21D8B"/>
    <w:rsid w:val="00F35241"/>
    <w:rsid w:val="00F3585F"/>
    <w:rsid w:val="00F45986"/>
    <w:rsid w:val="00F61D73"/>
    <w:rsid w:val="00F62F3D"/>
    <w:rsid w:val="00F802A7"/>
    <w:rsid w:val="00F9156F"/>
    <w:rsid w:val="00FB4ED2"/>
    <w:rsid w:val="00FC79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Kpr">
    <w:name w:val="Hyperlink"/>
    <w:basedOn w:val="VarsaylanParagrafYazTipi"/>
    <w:uiPriority w:val="99"/>
    <w:unhideWhenUsed/>
    <w:rsid w:val="002B31C9"/>
    <w:rPr>
      <w:color w:val="0563C1" w:themeColor="hyperlink"/>
      <w:u w:val="single"/>
    </w:rPr>
  </w:style>
  <w:style w:type="character" w:styleId="zmlenmeyenBahsetme">
    <w:name w:val="Unresolved Mention"/>
    <w:basedOn w:val="VarsaylanParagrafYazTipi"/>
    <w:uiPriority w:val="99"/>
    <w:semiHidden/>
    <w:unhideWhenUsed/>
    <w:rsid w:val="002B31C9"/>
    <w:rPr>
      <w:color w:val="605E5C"/>
      <w:shd w:val="clear" w:color="auto" w:fill="E1DFDD"/>
    </w:rPr>
  </w:style>
  <w:style w:type="table" w:customStyle="1" w:styleId="DzTablo32">
    <w:name w:val="Düz Tablo 32"/>
    <w:basedOn w:val="NormalTablo"/>
    <w:next w:val="DzTablo3"/>
    <w:uiPriority w:val="43"/>
    <w:rsid w:val="006371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1523</Words>
  <Characters>8684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11</cp:revision>
  <dcterms:created xsi:type="dcterms:W3CDTF">2021-06-22T14:31:00Z</dcterms:created>
  <dcterms:modified xsi:type="dcterms:W3CDTF">2021-06-29T14:12:00Z</dcterms:modified>
</cp:coreProperties>
</file>