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2"/>
        <w:gridCol w:w="1583"/>
        <w:gridCol w:w="1235"/>
        <w:gridCol w:w="613"/>
        <w:gridCol w:w="1146"/>
        <w:gridCol w:w="771"/>
        <w:gridCol w:w="761"/>
        <w:gridCol w:w="883"/>
        <w:gridCol w:w="384"/>
        <w:gridCol w:w="332"/>
        <w:gridCol w:w="1336"/>
      </w:tblGrid>
      <w:tr w:rsidR="00AF510D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Dersin Adı-Kodu: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TIP511 Çocuk Cerrahisi Ders Kurulu</w:t>
            </w:r>
          </w:p>
        </w:tc>
        <w:tc>
          <w:tcPr>
            <w:tcW w:w="4466" w:type="dxa"/>
            <w:gridSpan w:val="6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1" w:type="dxa"/>
            <w:gridSpan w:val="7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AF510D">
        <w:trPr>
          <w:trHeight w:val="480"/>
          <w:jc w:val="center"/>
        </w:trPr>
        <w:tc>
          <w:tcPr>
            <w:tcW w:w="1412" w:type="dxa"/>
            <w:vMerge/>
            <w:shd w:val="clear" w:color="auto" w:fill="auto"/>
            <w:vAlign w:val="center"/>
          </w:tcPr>
          <w:p w:rsidR="00AF510D" w:rsidRDefault="00AF5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F510D" w:rsidRDefault="00EF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AF510D">
        <w:trPr>
          <w:trHeight w:val="51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AF510D" w:rsidRDefault="00EF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Seçmeli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Tıp Fakültesi Dönem V öğrencilerine Pediatrik cerrahinin kapsamı ve uygulamalarının öğretilmesi için kuramsal ve uygulamalı derslerin anlatılmasını kapsamaktadır. Eğitim seminerler ve öğrenciler cerrahi uygulamalara gözlemci olarak katılımları ile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desteklenmektedi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10D" w:rsidRDefault="0039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Tıp Fakültesi Dönem V öğrencilerine mesleki yaşamlarında sıklıkla karşılaşacakları pediatrik cerrahinin kapsamı ve uygulamalarının öğretilmesi amaçlanmaktadır. Çocuklarda solunum, sindirim,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hepatobiliyer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genitoüriner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endokrin sistemlerinin doğumsal anomalileri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edinsel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hastalıklarında, çocukluk çağı travmaları ve onkolojik hastalıklarda cerrahi açıdan; hastaya yaklaşım, tanı gereçleri ve klinik yönlendirme ve sağaltım anlatılmaktadır. 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510D" w:rsidRDefault="00AF5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Çocuk cerrahisi ve tanımını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Çocuklarda Sıvı-Elektrolit Tedavisi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Parenteral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Nutrisyon</w:t>
            </w:r>
            <w:proofErr w:type="spellEnd"/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Özofagus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Atrezisi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Trakeaözofageal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Fistül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Koraviz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madde içimine yaklaşımın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Yabancı cisim yutmalarında temel yaklaşımlar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Çocuklarda endoskopik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torakoskopik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girişmler</w:t>
            </w:r>
            <w:proofErr w:type="spellEnd"/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Karın ağrılarına yaklaşımlar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Rotasyonle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durumlar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İnguinoskrotal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bölge hastalıklarında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Hipertrofik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stenozu</w:t>
            </w:r>
            <w:proofErr w:type="spellEnd"/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Karın ağrılarına yaklaşımlar</w:t>
            </w:r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Neonatal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atreziler</w:t>
            </w:r>
            <w:proofErr w:type="spellEnd"/>
          </w:p>
          <w:p w:rsidR="00AF510D" w:rsidRDefault="003975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Anorektal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Malformasyonlar</w:t>
            </w:r>
            <w:proofErr w:type="spellEnd"/>
          </w:p>
          <w:p w:rsidR="00AF510D" w:rsidRDefault="00AF5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1.Hastayı ve hasta yakınlarını sorgular.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2.Hastanın genel durumunu değerlendirir.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3.Hastanın hayati bulgularını ölçer ve değerlendirir.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4.Yakınma odaklı muayeneyi yapar.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5.Anamnez ve fizik muayene bulgularını kayıt eder ve sunar.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Anamnez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fizik  muayene  bulguları  ile  hastadan  ilk  aşamada  gerekli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temellaboratuar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testlerini (tam kan sayımı, tam idrar incelemesi, biyokimyasal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ölçümler,EKG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temel  radyolojik  incelemeler)  isteyebilir,  sonuçları  yorumlayabilir,  acil müdahale gerektirebilecek hastalıkların ön tanısını veya tanısını koyabilir, hastaları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servis ve acil servis şartlarında yönetebilir. 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Acil  müdahale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gerektiren  hastaları  tanıyabilir  ve  kritik  hastalarda  havayolu, solunum  ve  dolaşım desteği  sağlayarak  bir  üst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basamaksağlık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kurumuna  sevk edebilir.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Konsültasyon isteme zamanı, şekli ve kurallarını uygular.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Hasta ve yakınları ile sağlıklı bir iletişim kurar.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Diğer sağlık personelleri ile sağlıklı bir iletişim kurar.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Eğiticileri ile uygun bir iletişim kurar.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İyi  bir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hasta-hekim  ve  hekim-hekim  iletişimi  kurmanın  önemini  kavrar  ve becerisini geliştirir.</w:t>
            </w:r>
          </w:p>
          <w:p w:rsidR="00AF510D" w:rsidRDefault="0039756E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Çocuk cerrahi servis hasta yönetiminde adli rapor tutar ve adli süreçleri gereği gibi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yöneti</w:t>
            </w:r>
            <w:proofErr w:type="spellEnd"/>
          </w:p>
          <w:p w:rsidR="00AF510D" w:rsidRDefault="00AF51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 kitap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pStyle w:val="ListeParagraf"/>
              <w:spacing w:after="0" w:line="240" w:lineRule="auto"/>
              <w:ind w:left="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Puri</w:t>
            </w:r>
            <w:proofErr w:type="spellEnd"/>
            <w:r>
              <w:rPr>
                <w:rFonts w:ascii="Times New Roman" w:hAnsi="Times New Roman"/>
              </w:rPr>
              <w:t xml:space="preserve"> P, </w:t>
            </w:r>
            <w:proofErr w:type="spellStart"/>
            <w:r>
              <w:rPr>
                <w:rFonts w:ascii="Times New Roman" w:hAnsi="Times New Roman"/>
              </w:rPr>
              <w:t>Höllwarth</w:t>
            </w:r>
            <w:proofErr w:type="spellEnd"/>
            <w:r>
              <w:rPr>
                <w:rFonts w:ascii="Times New Roman" w:hAnsi="Times New Roman"/>
              </w:rPr>
              <w:t xml:space="preserve"> M. </w:t>
            </w:r>
            <w:proofErr w:type="spellStart"/>
            <w:r>
              <w:rPr>
                <w:rFonts w:ascii="Times New Roman" w:hAnsi="Times New Roman"/>
              </w:rPr>
              <w:t>Pediatric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Surgery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Diagnosis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Management, 2009, </w:t>
            </w:r>
            <w:proofErr w:type="spellStart"/>
            <w:r>
              <w:rPr>
                <w:rFonts w:ascii="Times New Roman" w:hAnsi="Times New Roman"/>
              </w:rPr>
              <w:t>Springer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F510D" w:rsidRDefault="0039756E">
            <w:pPr>
              <w:pStyle w:val="ListeParagraf"/>
              <w:spacing w:after="0" w:line="240" w:lineRule="auto"/>
              <w:ind w:left="5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Hutson</w:t>
            </w:r>
            <w:proofErr w:type="spellEnd"/>
            <w:r>
              <w:rPr>
                <w:rFonts w:ascii="Times New Roman" w:hAnsi="Times New Roman"/>
              </w:rPr>
              <w:t xml:space="preserve"> JM, et al. </w:t>
            </w:r>
            <w:proofErr w:type="spellStart"/>
            <w:r>
              <w:rPr>
                <w:rFonts w:ascii="Times New Roman" w:hAnsi="Times New Roman"/>
              </w:rPr>
              <w:t>Jones</w:t>
            </w:r>
            <w:proofErr w:type="spellEnd"/>
            <w:r>
              <w:rPr>
                <w:rFonts w:ascii="Times New Roman" w:hAnsi="Times New Roman"/>
              </w:rPr>
              <w:t xml:space="preserve">’ </w:t>
            </w:r>
            <w:proofErr w:type="spellStart"/>
            <w:r>
              <w:rPr>
                <w:rFonts w:ascii="Times New Roman" w:hAnsi="Times New Roman"/>
              </w:rPr>
              <w:t>Clinical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Paediatric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Surgery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Diagnosis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and</w:t>
            </w:r>
            <w:proofErr w:type="spellEnd"/>
            <w:r>
              <w:rPr>
                <w:rFonts w:ascii="Times New Roman" w:hAnsi="Times New Roman"/>
              </w:rPr>
              <w:t xml:space="preserve">  Management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Sixth</w:t>
            </w:r>
            <w:proofErr w:type="spellEnd"/>
            <w:r>
              <w:rPr>
                <w:rFonts w:ascii="Times New Roman" w:hAnsi="Times New Roman"/>
              </w:rPr>
              <w:t xml:space="preserve"> Edition, 2008, </w:t>
            </w:r>
            <w:proofErr w:type="spellStart"/>
            <w:r>
              <w:rPr>
                <w:rFonts w:ascii="Times New Roman" w:hAnsi="Times New Roman"/>
              </w:rPr>
              <w:t>Blackwell</w:t>
            </w:r>
            <w:proofErr w:type="spellEnd"/>
            <w:r>
              <w:rPr>
                <w:rFonts w:ascii="Times New Roman" w:hAnsi="Times New Roman"/>
              </w:rPr>
              <w:t xml:space="preserve"> Publishing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sınavları.Ödev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AF510D">
        <w:trPr>
          <w:trHeight w:val="300"/>
          <w:jc w:val="center"/>
        </w:trPr>
        <w:tc>
          <w:tcPr>
            <w:tcW w:w="10455" w:type="dxa"/>
            <w:gridSpan w:val="11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  <w:r w:rsidR="007E0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TIP511 Çocuk Cerrahisi Ders Kurulu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Ara Sınavlar (Hekimlik becerileri vb.)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</w:t>
            </w:r>
            <w:proofErr w:type="spellStart"/>
            <w:r>
              <w:rPr>
                <w:color w:val="000000"/>
                <w:sz w:val="20"/>
                <w:szCs w:val="20"/>
              </w:rPr>
              <w:t>Vizit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510D">
        <w:trPr>
          <w:trHeight w:val="300"/>
          <w:jc w:val="center"/>
        </w:trPr>
        <w:tc>
          <w:tcPr>
            <w:tcW w:w="6760" w:type="dxa"/>
            <w:gridSpan w:val="6"/>
            <w:shd w:val="clear" w:color="auto" w:fill="auto"/>
            <w:vAlign w:val="center"/>
          </w:tcPr>
          <w:p w:rsidR="00AF510D" w:rsidRDefault="0039756E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510D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F510D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510D">
        <w:trPr>
          <w:trHeight w:val="315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510D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AF510D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5" w:type="dxa"/>
            <w:gridSpan w:val="8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AF510D" w:rsidRDefault="00397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:rsidR="00AF510D" w:rsidRDefault="003975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t>14</w:t>
      </w:r>
    </w:p>
    <w:sectPr w:rsidR="00AF510D"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8AC" w:rsidRDefault="00CC38AC">
      <w:pPr>
        <w:spacing w:after="0" w:line="240" w:lineRule="auto"/>
      </w:pPr>
      <w:r>
        <w:separator/>
      </w:r>
    </w:p>
  </w:endnote>
  <w:endnote w:type="continuationSeparator" w:id="0">
    <w:p w:rsidR="00CC38AC" w:rsidRDefault="00CC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4155022"/>
      <w:docPartObj>
        <w:docPartGallery w:val="Page Numbers (Bottom of Page)"/>
        <w:docPartUnique/>
      </w:docPartObj>
    </w:sdtPr>
    <w:sdtEndPr/>
    <w:sdtContent>
      <w:p w:rsidR="00AF510D" w:rsidRDefault="0039756E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AF510D" w:rsidRDefault="00AF51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8AC" w:rsidRDefault="00CC38AC">
      <w:pPr>
        <w:spacing w:after="0" w:line="240" w:lineRule="auto"/>
      </w:pPr>
      <w:r>
        <w:separator/>
      </w:r>
    </w:p>
  </w:footnote>
  <w:footnote w:type="continuationSeparator" w:id="0">
    <w:p w:rsidR="00CC38AC" w:rsidRDefault="00CC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193C"/>
    <w:multiLevelType w:val="multilevel"/>
    <w:tmpl w:val="AD5E940A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75A65D3"/>
    <w:multiLevelType w:val="multilevel"/>
    <w:tmpl w:val="1DA24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0D"/>
    <w:rsid w:val="0039756E"/>
    <w:rsid w:val="007E09C9"/>
    <w:rsid w:val="00AF510D"/>
    <w:rsid w:val="00CC38AC"/>
    <w:rsid w:val="00E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D3FFE"/>
  <w15:docId w15:val="{2779BFF3-8D02-D44D-B18A-C4D1BA0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D1D2-A621-7747-9F5F-C3CF75CD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828</Words>
  <Characters>4723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117</cp:revision>
  <cp:lastPrinted>2017-07-19T08:48:00Z</cp:lastPrinted>
  <dcterms:created xsi:type="dcterms:W3CDTF">2020-07-23T14:48:00Z</dcterms:created>
  <dcterms:modified xsi:type="dcterms:W3CDTF">2020-08-27T08:37:00Z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